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9F" w:rsidRPr="00AD38C1" w:rsidRDefault="00303E9F" w:rsidP="006859E2">
      <w:pPr>
        <w:jc w:val="center"/>
        <w:rPr>
          <w:rFonts w:ascii="Arial" w:hAnsi="Arial" w:cs="Arial"/>
          <w:b/>
          <w:sz w:val="36"/>
          <w:szCs w:val="36"/>
        </w:rPr>
      </w:pPr>
      <w:r w:rsidRPr="00AD38C1">
        <w:rPr>
          <w:rFonts w:ascii="Arial" w:hAnsi="Arial" w:cs="Arial"/>
          <w:b/>
          <w:sz w:val="36"/>
          <w:szCs w:val="36"/>
        </w:rPr>
        <w:t>MOU REQUIREMENTS</w:t>
      </w:r>
    </w:p>
    <w:p w:rsidR="00303E9F" w:rsidRDefault="00303E9F" w:rsidP="00303E9F">
      <w:pPr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All MOUs must contain the following six requirements</w:t>
      </w:r>
      <w:r>
        <w:rPr>
          <w:rFonts w:ascii="Arial" w:hAnsi="Arial" w:cs="Arial"/>
          <w:sz w:val="24"/>
          <w:szCs w:val="24"/>
        </w:rPr>
        <w:t>.</w:t>
      </w:r>
    </w:p>
    <w:p w:rsidR="00303E9F" w:rsidRPr="007A70F6" w:rsidRDefault="00303E9F" w:rsidP="00303E9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A70F6">
        <w:rPr>
          <w:rFonts w:ascii="Arial" w:hAnsi="Arial" w:cs="Arial"/>
          <w:b/>
          <w:sz w:val="20"/>
          <w:szCs w:val="20"/>
        </w:rPr>
        <w:t xml:space="preserve">Description/Access to Services:  </w:t>
      </w:r>
      <w:r w:rsidRPr="007A70F6">
        <w:rPr>
          <w:rFonts w:ascii="Arial" w:hAnsi="Arial" w:cs="Arial"/>
          <w:sz w:val="20"/>
          <w:szCs w:val="20"/>
        </w:rPr>
        <w:t>A description of the access and delivery of services to be provided through the on</w:t>
      </w:r>
      <w:r w:rsidR="005602D7">
        <w:rPr>
          <w:rFonts w:ascii="Arial" w:hAnsi="Arial" w:cs="Arial"/>
          <w:sz w:val="20"/>
          <w:szCs w:val="20"/>
        </w:rPr>
        <w:t>e</w:t>
      </w:r>
      <w:r w:rsidRPr="007A70F6">
        <w:rPr>
          <w:rFonts w:ascii="Arial" w:hAnsi="Arial" w:cs="Arial"/>
          <w:sz w:val="20"/>
          <w:szCs w:val="20"/>
        </w:rPr>
        <w:t>-stop system, including the manner in which services will be coordinated and delivered through the system. (34CFR §463.500(1), WIOA, Subtitle B, Chapter 1 §121(c)(2)(A)(</w:t>
      </w:r>
      <w:r w:rsidR="002A71E0" w:rsidRPr="007A70F6">
        <w:rPr>
          <w:rFonts w:ascii="Arial" w:hAnsi="Arial" w:cs="Arial"/>
          <w:sz w:val="20"/>
          <w:szCs w:val="20"/>
        </w:rPr>
        <w:t>I</w:t>
      </w:r>
      <w:r w:rsidRPr="007A70F6">
        <w:rPr>
          <w:rFonts w:ascii="Arial" w:hAnsi="Arial" w:cs="Arial"/>
          <w:sz w:val="20"/>
          <w:szCs w:val="20"/>
        </w:rPr>
        <w:t>))</w:t>
      </w:r>
    </w:p>
    <w:p w:rsidR="00303E9F" w:rsidRPr="007A70F6" w:rsidRDefault="00303E9F" w:rsidP="00303E9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>At least on</w:t>
      </w:r>
      <w:r w:rsidR="00A63576">
        <w:rPr>
          <w:rFonts w:ascii="Arial" w:hAnsi="Arial" w:cs="Arial"/>
          <w:sz w:val="20"/>
          <w:szCs w:val="20"/>
        </w:rPr>
        <w:t>e</w:t>
      </w:r>
      <w:r w:rsidRPr="007A70F6">
        <w:rPr>
          <w:rFonts w:ascii="Arial" w:hAnsi="Arial" w:cs="Arial"/>
          <w:sz w:val="20"/>
          <w:szCs w:val="20"/>
        </w:rPr>
        <w:t xml:space="preserve"> comprehensive workforce center in each local area.</w:t>
      </w:r>
    </w:p>
    <w:p w:rsidR="00303E9F" w:rsidRPr="007A70F6" w:rsidRDefault="00303E9F" w:rsidP="00303E9F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>What services?</w:t>
      </w:r>
    </w:p>
    <w:p w:rsidR="00303E9F" w:rsidRPr="007A70F6" w:rsidRDefault="00303E9F" w:rsidP="00303E9F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>Which services?</w:t>
      </w:r>
    </w:p>
    <w:p w:rsidR="00303E9F" w:rsidRPr="007A70F6" w:rsidRDefault="00303E9F" w:rsidP="00303E9F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 xml:space="preserve">Frequency of program </w:t>
      </w:r>
      <w:r w:rsidR="006859E2" w:rsidRPr="007A70F6">
        <w:rPr>
          <w:rFonts w:ascii="Arial" w:hAnsi="Arial" w:cs="Arial"/>
          <w:sz w:val="20"/>
          <w:szCs w:val="20"/>
        </w:rPr>
        <w:t>staff’s physical presence?</w:t>
      </w:r>
    </w:p>
    <w:p w:rsidR="006859E2" w:rsidRPr="007A70F6" w:rsidRDefault="006859E2" w:rsidP="006859E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 xml:space="preserve">Accessible through electronic means in a </w:t>
      </w:r>
      <w:r w:rsidR="00A63576">
        <w:rPr>
          <w:rFonts w:ascii="Arial" w:hAnsi="Arial" w:cs="Arial"/>
          <w:sz w:val="20"/>
          <w:szCs w:val="20"/>
        </w:rPr>
        <w:t>manner that improves efficiency,</w:t>
      </w:r>
      <w:r w:rsidRPr="007A70F6">
        <w:rPr>
          <w:rFonts w:ascii="Arial" w:hAnsi="Arial" w:cs="Arial"/>
          <w:sz w:val="20"/>
          <w:szCs w:val="20"/>
        </w:rPr>
        <w:t xml:space="preserve"> coordination and quality.</w:t>
      </w:r>
    </w:p>
    <w:p w:rsidR="006859E2" w:rsidRPr="007A70F6" w:rsidRDefault="006859E2" w:rsidP="006859E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6859E2" w:rsidRPr="007A70F6" w:rsidRDefault="006859E2" w:rsidP="006859E2">
      <w:pPr>
        <w:pStyle w:val="ListParagraph"/>
        <w:numPr>
          <w:ilvl w:val="0"/>
          <w:numId w:val="2"/>
        </w:numPr>
        <w:spacing w:before="40" w:after="40"/>
        <w:rPr>
          <w:rFonts w:ascii="Arial" w:hAnsi="Arial" w:cs="Arial"/>
          <w:sz w:val="20"/>
          <w:szCs w:val="20"/>
        </w:rPr>
      </w:pPr>
      <w:r w:rsidRPr="007A70F6">
        <w:rPr>
          <w:rFonts w:ascii="Arial" w:hAnsi="Arial" w:cs="Arial"/>
          <w:b/>
          <w:color w:val="000000"/>
          <w:sz w:val="20"/>
          <w:szCs w:val="20"/>
        </w:rPr>
        <w:t xml:space="preserve">Infrastructure Funding Agreement:  </w:t>
      </w:r>
      <w:r w:rsidR="008737F6" w:rsidRPr="007A70F6">
        <w:rPr>
          <w:rFonts w:ascii="Arial" w:hAnsi="Arial" w:cs="Arial"/>
          <w:color w:val="000000"/>
          <w:sz w:val="20"/>
          <w:szCs w:val="20"/>
        </w:rPr>
        <w:t>A</w:t>
      </w:r>
      <w:r w:rsidRPr="007A70F6">
        <w:rPr>
          <w:rFonts w:ascii="Arial" w:hAnsi="Arial" w:cs="Arial"/>
          <w:color w:val="000000"/>
          <w:sz w:val="20"/>
          <w:szCs w:val="20"/>
        </w:rPr>
        <w:t xml:space="preserve">n agreement on funding the cost of the services and the operating cost of the system </w:t>
      </w:r>
      <w:r w:rsidRPr="007A70F6">
        <w:rPr>
          <w:rFonts w:ascii="Arial" w:hAnsi="Arial" w:cs="Arial"/>
          <w:sz w:val="20"/>
          <w:szCs w:val="20"/>
        </w:rPr>
        <w:t>(34CFR §463.500(2)(</w:t>
      </w:r>
      <w:proofErr w:type="spellStart"/>
      <w:r w:rsidR="007E043C">
        <w:rPr>
          <w:rFonts w:ascii="Arial" w:hAnsi="Arial" w:cs="Arial"/>
          <w:sz w:val="20"/>
          <w:szCs w:val="20"/>
        </w:rPr>
        <w:t>i</w:t>
      </w:r>
      <w:proofErr w:type="spellEnd"/>
      <w:r w:rsidRPr="007A70F6">
        <w:rPr>
          <w:rFonts w:ascii="Arial" w:hAnsi="Arial" w:cs="Arial"/>
          <w:sz w:val="20"/>
          <w:szCs w:val="20"/>
        </w:rPr>
        <w:t>), 34CFR §463.755,</w:t>
      </w:r>
      <w:r w:rsidR="008737F6" w:rsidRPr="007A70F6">
        <w:rPr>
          <w:rFonts w:ascii="Arial" w:hAnsi="Arial" w:cs="Arial"/>
          <w:sz w:val="20"/>
          <w:szCs w:val="20"/>
        </w:rPr>
        <w:t xml:space="preserve"> 34CFR §463.720,</w:t>
      </w:r>
      <w:r w:rsidRPr="007A70F6">
        <w:rPr>
          <w:rFonts w:ascii="Arial" w:hAnsi="Arial" w:cs="Arial"/>
          <w:sz w:val="20"/>
          <w:szCs w:val="20"/>
        </w:rPr>
        <w:t xml:space="preserve"> WIOA, Subtitle B, Chapter 1 §121(c)(2)(A)(ii))</w:t>
      </w:r>
      <w:bookmarkStart w:id="0" w:name="_GoBack"/>
      <w:bookmarkEnd w:id="0"/>
    </w:p>
    <w:p w:rsidR="006859E2" w:rsidRPr="007A70F6" w:rsidRDefault="006859E2" w:rsidP="006859E2">
      <w:pPr>
        <w:pStyle w:val="Header"/>
        <w:numPr>
          <w:ilvl w:val="1"/>
          <w:numId w:val="2"/>
        </w:numPr>
        <w:spacing w:before="40" w:after="40"/>
        <w:rPr>
          <w:rFonts w:ascii="Arial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>The period of time in which the infrastructure funding agreement is effective. This may be a different time period than the duration of the MOU but must include the current project year.</w:t>
      </w:r>
    </w:p>
    <w:p w:rsidR="008737F6" w:rsidRPr="007A70F6" w:rsidRDefault="006859E2" w:rsidP="006859E2">
      <w:pPr>
        <w:pStyle w:val="Head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>Identification of an infrastructure and shared services budget.</w:t>
      </w:r>
    </w:p>
    <w:p w:rsidR="006859E2" w:rsidRPr="007A70F6" w:rsidRDefault="008737F6" w:rsidP="006859E2">
      <w:pPr>
        <w:pStyle w:val="Head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>Identification of all on</w:t>
      </w:r>
      <w:r w:rsidR="006D3B66">
        <w:rPr>
          <w:rFonts w:ascii="Arial" w:hAnsi="Arial" w:cs="Arial"/>
          <w:sz w:val="20"/>
          <w:szCs w:val="20"/>
        </w:rPr>
        <w:t>e</w:t>
      </w:r>
      <w:r w:rsidRPr="007A70F6">
        <w:rPr>
          <w:rFonts w:ascii="Arial" w:hAnsi="Arial" w:cs="Arial"/>
          <w:sz w:val="20"/>
          <w:szCs w:val="20"/>
        </w:rPr>
        <w:t>-stop partners, chief elected officials, and the LWDB participating in the infrastructure funding arrangement.</w:t>
      </w:r>
      <w:r w:rsidR="006859E2" w:rsidRPr="007A70F6">
        <w:rPr>
          <w:rFonts w:ascii="Arial" w:eastAsiaTheme="minorHAnsi" w:hAnsi="Arial" w:cs="Arial"/>
          <w:sz w:val="20"/>
          <w:szCs w:val="20"/>
        </w:rPr>
        <w:t xml:space="preserve">  </w:t>
      </w:r>
    </w:p>
    <w:p w:rsidR="008737F6" w:rsidRPr="007A70F6" w:rsidRDefault="008737F6" w:rsidP="006859E2">
      <w:pPr>
        <w:pStyle w:val="Head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>Steps the LWDB, chief elected officials, and one stop partners use to reach consensus of an assurance that the local area followed the guidance for the State funding process.</w:t>
      </w:r>
    </w:p>
    <w:p w:rsidR="008737F6" w:rsidRPr="007A70F6" w:rsidRDefault="008737F6" w:rsidP="006859E2">
      <w:pPr>
        <w:pStyle w:val="Head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 xml:space="preserve">Description of the process to be used among partners to resolve issues during the MOU duration period when consensus cannot be reached. </w:t>
      </w:r>
    </w:p>
    <w:p w:rsidR="008737F6" w:rsidRPr="007A70F6" w:rsidRDefault="008737F6" w:rsidP="006859E2">
      <w:pPr>
        <w:pStyle w:val="Head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>Description of the periodic modification and review process to ensure equitable benefit among one-stop partners.</w:t>
      </w:r>
    </w:p>
    <w:p w:rsidR="008737F6" w:rsidRPr="007A70F6" w:rsidRDefault="008737F6" w:rsidP="006859E2">
      <w:pPr>
        <w:pStyle w:val="Head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 xml:space="preserve">Funding of the shared services and operating cost of the one-stop delivery system.    </w:t>
      </w:r>
    </w:p>
    <w:p w:rsidR="008737F6" w:rsidRPr="007A70F6" w:rsidRDefault="008737F6" w:rsidP="006859E2">
      <w:pPr>
        <w:pStyle w:val="Head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 xml:space="preserve">Document third-party in-kind contributions made by non-partners to supplement the operation of the system. </w:t>
      </w:r>
    </w:p>
    <w:p w:rsidR="008737F6" w:rsidRPr="007A70F6" w:rsidRDefault="008737F6" w:rsidP="008737F6">
      <w:pPr>
        <w:pStyle w:val="Header"/>
        <w:spacing w:before="40" w:after="40"/>
        <w:ind w:left="1080"/>
        <w:rPr>
          <w:rFonts w:ascii="Arial" w:eastAsiaTheme="minorHAnsi" w:hAnsi="Arial" w:cs="Arial"/>
          <w:sz w:val="20"/>
          <w:szCs w:val="20"/>
        </w:rPr>
      </w:pPr>
    </w:p>
    <w:p w:rsidR="008737F6" w:rsidRPr="007A70F6" w:rsidRDefault="008737F6" w:rsidP="008737F6">
      <w:pPr>
        <w:pStyle w:val="Header"/>
        <w:numPr>
          <w:ilvl w:val="0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b/>
          <w:sz w:val="20"/>
          <w:szCs w:val="20"/>
        </w:rPr>
        <w:t>Referrals</w:t>
      </w:r>
      <w:r w:rsidRPr="007A70F6">
        <w:rPr>
          <w:rFonts w:ascii="Arial" w:hAnsi="Arial" w:cs="Arial"/>
          <w:sz w:val="20"/>
          <w:szCs w:val="20"/>
        </w:rPr>
        <w:t>: Methods for referring individuals between the on</w:t>
      </w:r>
      <w:r w:rsidR="006D3B66">
        <w:rPr>
          <w:rFonts w:ascii="Arial" w:hAnsi="Arial" w:cs="Arial"/>
          <w:sz w:val="20"/>
          <w:szCs w:val="20"/>
        </w:rPr>
        <w:t>e</w:t>
      </w:r>
      <w:r w:rsidRPr="007A70F6">
        <w:rPr>
          <w:rFonts w:ascii="Arial" w:hAnsi="Arial" w:cs="Arial"/>
          <w:sz w:val="20"/>
          <w:szCs w:val="20"/>
        </w:rPr>
        <w:t>-stop operators and partners for appropriate services and activities.  (34CFR §463.500(3), WIOA, Subtitle B, Chapter 1 §121(c)(2)(iii))</w:t>
      </w:r>
      <w:r w:rsidRPr="007A70F6">
        <w:rPr>
          <w:rFonts w:ascii="Arial" w:eastAsiaTheme="minorHAnsi" w:hAnsi="Arial" w:cs="Arial"/>
          <w:sz w:val="20"/>
          <w:szCs w:val="20"/>
        </w:rPr>
        <w:t xml:space="preserve"> </w:t>
      </w:r>
    </w:p>
    <w:p w:rsidR="00C31D42" w:rsidRPr="007A70F6" w:rsidRDefault="00C31D42" w:rsidP="00C31D42">
      <w:pPr>
        <w:pStyle w:val="Header"/>
        <w:spacing w:before="40" w:after="40"/>
        <w:rPr>
          <w:rFonts w:ascii="Arial" w:eastAsiaTheme="minorHAnsi" w:hAnsi="Arial" w:cs="Arial"/>
          <w:sz w:val="20"/>
          <w:szCs w:val="20"/>
        </w:rPr>
      </w:pPr>
    </w:p>
    <w:p w:rsidR="00C31D42" w:rsidRPr="007A70F6" w:rsidRDefault="00C31D42" w:rsidP="00C31D42">
      <w:pPr>
        <w:pStyle w:val="Footer"/>
        <w:numPr>
          <w:ilvl w:val="0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b/>
          <w:sz w:val="20"/>
          <w:szCs w:val="20"/>
          <w:lang w:val="en"/>
        </w:rPr>
        <w:t>Assurances:</w:t>
      </w:r>
      <w:r w:rsidRPr="007A70F6">
        <w:rPr>
          <w:rFonts w:ascii="Arial" w:hAnsi="Arial" w:cs="Arial"/>
          <w:sz w:val="20"/>
          <w:szCs w:val="20"/>
          <w:lang w:val="en"/>
        </w:rPr>
        <w:t xml:space="preserve"> </w:t>
      </w:r>
      <w:r w:rsidRPr="007A70F6">
        <w:rPr>
          <w:rFonts w:ascii="Arial" w:hAnsi="Arial" w:cs="Arial"/>
          <w:color w:val="000000"/>
          <w:sz w:val="20"/>
          <w:szCs w:val="20"/>
        </w:rPr>
        <w:t>Methods to ensure that the needs of workers, youth, and individual</w:t>
      </w:r>
      <w:r w:rsidR="00A63576">
        <w:rPr>
          <w:rFonts w:ascii="Arial" w:hAnsi="Arial" w:cs="Arial"/>
          <w:color w:val="000000"/>
          <w:sz w:val="20"/>
          <w:szCs w:val="20"/>
        </w:rPr>
        <w:t>s</w:t>
      </w:r>
      <w:r w:rsidRPr="007A70F6">
        <w:rPr>
          <w:rFonts w:ascii="Arial" w:hAnsi="Arial" w:cs="Arial"/>
          <w:color w:val="000000"/>
          <w:sz w:val="20"/>
          <w:szCs w:val="20"/>
        </w:rPr>
        <w:t xml:space="preserve"> with barriers to employment, including individuals with disabilities, are addressed in providing access to services, including access to technology and materials that are available through the on</w:t>
      </w:r>
      <w:r w:rsidR="006D3B66">
        <w:rPr>
          <w:rFonts w:ascii="Arial" w:hAnsi="Arial" w:cs="Arial"/>
          <w:color w:val="000000"/>
          <w:sz w:val="20"/>
          <w:szCs w:val="20"/>
        </w:rPr>
        <w:t>e</w:t>
      </w:r>
      <w:r w:rsidRPr="007A70F6">
        <w:rPr>
          <w:rFonts w:ascii="Arial" w:hAnsi="Arial" w:cs="Arial"/>
          <w:color w:val="000000"/>
          <w:sz w:val="20"/>
          <w:szCs w:val="20"/>
        </w:rPr>
        <w:t xml:space="preserve">-stop delivery system.  </w:t>
      </w:r>
      <w:r w:rsidRPr="007A70F6">
        <w:rPr>
          <w:rFonts w:ascii="Arial" w:hAnsi="Arial" w:cs="Arial"/>
          <w:sz w:val="20"/>
          <w:szCs w:val="20"/>
        </w:rPr>
        <w:t>(34CFR §463.500(4)</w:t>
      </w:r>
      <w:r w:rsidR="007E043C">
        <w:rPr>
          <w:rFonts w:ascii="Arial" w:hAnsi="Arial" w:cs="Arial"/>
          <w:sz w:val="20"/>
          <w:szCs w:val="20"/>
        </w:rPr>
        <w:t>(6)</w:t>
      </w:r>
      <w:r w:rsidRPr="007A70F6">
        <w:rPr>
          <w:rFonts w:ascii="Arial" w:hAnsi="Arial" w:cs="Arial"/>
          <w:sz w:val="20"/>
          <w:szCs w:val="20"/>
        </w:rPr>
        <w:t>, WIOA, Subtitle B, Chapter 1 §121(c)(2)(A)(iv))</w:t>
      </w:r>
    </w:p>
    <w:p w:rsidR="00C31D42" w:rsidRPr="007A70F6" w:rsidRDefault="00C31D42" w:rsidP="00C31D42">
      <w:pPr>
        <w:pStyle w:val="Foot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color w:val="000000"/>
          <w:sz w:val="20"/>
          <w:szCs w:val="20"/>
        </w:rPr>
        <w:t>I</w:t>
      </w:r>
      <w:r w:rsidRPr="007A70F6">
        <w:rPr>
          <w:rFonts w:ascii="Arial" w:hAnsi="Arial" w:cs="Arial"/>
          <w:sz w:val="20"/>
          <w:szCs w:val="20"/>
          <w:lang w:val="en"/>
        </w:rPr>
        <w:t>ncludes the statement, “The duly authorized agent of the recipient agrees to satisfy the requirements of 34CFR §361.505 and 34CFR §361.720.”</w:t>
      </w:r>
    </w:p>
    <w:p w:rsidR="00C31D42" w:rsidRPr="007A70F6" w:rsidRDefault="00C31D42" w:rsidP="00C31D42">
      <w:pPr>
        <w:pStyle w:val="Foot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sz w:val="20"/>
          <w:szCs w:val="20"/>
        </w:rPr>
        <w:t xml:space="preserve">Includes assurances that the MOU will be reviewed, and if substantial changes have occurred, renewed, not less than once every 3-year period to ensure appropriate funding and delivery of services. </w:t>
      </w:r>
    </w:p>
    <w:p w:rsidR="00C31D42" w:rsidRPr="007A70F6" w:rsidRDefault="00C31D42" w:rsidP="00C31D42">
      <w:pPr>
        <w:pStyle w:val="Foot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color w:val="000000"/>
          <w:sz w:val="20"/>
          <w:szCs w:val="20"/>
        </w:rPr>
        <w:t>Includes other provisions agreed to by the parties that are consistent with WIOA title 1, the authorizing statutes and regulations of on-stop partner programs, and the WIOA regulations.</w:t>
      </w:r>
    </w:p>
    <w:p w:rsidR="00C31D42" w:rsidRPr="007A70F6" w:rsidRDefault="00C31D42" w:rsidP="00C31D42">
      <w:pPr>
        <w:pStyle w:val="Footer"/>
        <w:numPr>
          <w:ilvl w:val="1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color w:val="000000"/>
          <w:sz w:val="20"/>
          <w:szCs w:val="20"/>
        </w:rPr>
        <w:lastRenderedPageBreak/>
        <w:t>Includes provisions for a one-stop partner to appeal to the State regarding infrastructure costs, using the process described in 34CFR §463.750, that result in a change to the one-stop partner’s infrastructure cost contributions, the MOU must be updated to reflect the final- one-stop partner infrastructure cost contributions.</w:t>
      </w:r>
      <w:r w:rsidRPr="007A70F6">
        <w:rPr>
          <w:rFonts w:ascii="Arial" w:hAnsi="Arial" w:cs="Arial"/>
          <w:sz w:val="20"/>
          <w:szCs w:val="20"/>
        </w:rPr>
        <w:t xml:space="preserve"> </w:t>
      </w:r>
    </w:p>
    <w:p w:rsidR="00E26B4A" w:rsidRPr="007A70F6" w:rsidRDefault="00E26B4A" w:rsidP="00E26B4A">
      <w:pPr>
        <w:pStyle w:val="Footer"/>
        <w:spacing w:before="40" w:after="40"/>
        <w:ind w:left="1440"/>
        <w:rPr>
          <w:rFonts w:ascii="Arial" w:eastAsiaTheme="minorHAnsi" w:hAnsi="Arial" w:cs="Arial"/>
          <w:sz w:val="20"/>
          <w:szCs w:val="20"/>
        </w:rPr>
      </w:pPr>
    </w:p>
    <w:p w:rsidR="00C31D42" w:rsidRPr="007A70F6" w:rsidRDefault="00E26B4A" w:rsidP="00C31D42">
      <w:pPr>
        <w:pStyle w:val="Footer"/>
        <w:numPr>
          <w:ilvl w:val="0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b/>
          <w:sz w:val="20"/>
          <w:szCs w:val="20"/>
          <w:lang w:val="en"/>
        </w:rPr>
        <w:t xml:space="preserve">Term:  </w:t>
      </w:r>
      <w:r w:rsidRPr="007A70F6">
        <w:rPr>
          <w:rFonts w:ascii="Arial" w:hAnsi="Arial" w:cs="Arial"/>
          <w:sz w:val="20"/>
          <w:szCs w:val="20"/>
          <w:lang w:val="en"/>
        </w:rPr>
        <w:t xml:space="preserve">The duration in which the MOU is effective </w:t>
      </w:r>
      <w:r w:rsidRPr="007A70F6">
        <w:rPr>
          <w:rFonts w:ascii="Arial" w:hAnsi="Arial" w:cs="Arial"/>
          <w:sz w:val="20"/>
          <w:szCs w:val="20"/>
        </w:rPr>
        <w:t>must at least include the current project year 7/1/20 -6/30/21. (34CFR §463.500(5)(6)(d), WIOA, Subtitle B, Chapter 1 §121(c)(2)(A)(v))</w:t>
      </w:r>
    </w:p>
    <w:p w:rsidR="00E26B4A" w:rsidRPr="007A70F6" w:rsidRDefault="00E26B4A" w:rsidP="00E26B4A">
      <w:pPr>
        <w:pStyle w:val="Footer"/>
        <w:spacing w:before="40" w:after="40"/>
        <w:ind w:left="720"/>
        <w:rPr>
          <w:rFonts w:ascii="Arial" w:eastAsiaTheme="minorHAnsi" w:hAnsi="Arial" w:cs="Arial"/>
          <w:sz w:val="20"/>
          <w:szCs w:val="20"/>
        </w:rPr>
      </w:pPr>
    </w:p>
    <w:p w:rsidR="00303E9F" w:rsidRPr="007A70F6" w:rsidRDefault="00E26B4A" w:rsidP="00303E9F">
      <w:pPr>
        <w:pStyle w:val="Footer"/>
        <w:numPr>
          <w:ilvl w:val="0"/>
          <w:numId w:val="2"/>
        </w:numPr>
        <w:spacing w:before="40" w:after="40"/>
        <w:rPr>
          <w:rFonts w:ascii="Arial" w:eastAsiaTheme="minorHAnsi" w:hAnsi="Arial" w:cs="Arial"/>
          <w:sz w:val="20"/>
          <w:szCs w:val="20"/>
        </w:rPr>
      </w:pPr>
      <w:r w:rsidRPr="007A70F6">
        <w:rPr>
          <w:rFonts w:ascii="Arial" w:hAnsi="Arial" w:cs="Arial"/>
          <w:b/>
          <w:sz w:val="20"/>
          <w:szCs w:val="20"/>
        </w:rPr>
        <w:t xml:space="preserve">Signatories:  </w:t>
      </w:r>
      <w:r w:rsidRPr="007A70F6">
        <w:rPr>
          <w:rFonts w:ascii="Arial" w:hAnsi="Arial" w:cs="Arial"/>
          <w:sz w:val="20"/>
          <w:szCs w:val="20"/>
        </w:rPr>
        <w:t xml:space="preserve">Includes the signatures of the LWDB, one-stop partners, the chief elected officials (authorized representative of each partner program).  (34CFR §463.500(5)(6)(d), WIOA, Subtitle B, Chapter 1 §121(c)(2)(A)(v)) </w:t>
      </w:r>
      <w:r w:rsidRPr="007A70F6">
        <w:rPr>
          <w:rFonts w:ascii="Arial" w:hAnsi="Arial" w:cs="Arial"/>
          <w:i/>
          <w:sz w:val="20"/>
          <w:szCs w:val="20"/>
        </w:rPr>
        <w:t>The MOU must be updated every 3 years to reflect any changes to the signatory official of the Board, one-stop partners, and chief elected officials, or one-stop infrastructure funding.</w:t>
      </w:r>
    </w:p>
    <w:sectPr w:rsidR="00303E9F" w:rsidRPr="007A70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04" w:rsidRDefault="00502F04" w:rsidP="00502F04">
      <w:pPr>
        <w:spacing w:after="0" w:line="240" w:lineRule="auto"/>
      </w:pPr>
      <w:r>
        <w:separator/>
      </w:r>
    </w:p>
  </w:endnote>
  <w:endnote w:type="continuationSeparator" w:id="0">
    <w:p w:rsidR="00502F04" w:rsidRDefault="00502F04" w:rsidP="0050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562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F04" w:rsidRDefault="00502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2F04" w:rsidRDefault="0050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04" w:rsidRDefault="00502F04" w:rsidP="00502F04">
      <w:pPr>
        <w:spacing w:after="0" w:line="240" w:lineRule="auto"/>
      </w:pPr>
      <w:r>
        <w:separator/>
      </w:r>
    </w:p>
  </w:footnote>
  <w:footnote w:type="continuationSeparator" w:id="0">
    <w:p w:rsidR="00502F04" w:rsidRDefault="00502F04" w:rsidP="0050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717A"/>
    <w:multiLevelType w:val="hybridMultilevel"/>
    <w:tmpl w:val="E4285166"/>
    <w:lvl w:ilvl="0" w:tplc="2A72D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2A30"/>
    <w:multiLevelType w:val="hybridMultilevel"/>
    <w:tmpl w:val="5D80842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4359DD"/>
    <w:multiLevelType w:val="hybridMultilevel"/>
    <w:tmpl w:val="6FDA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9F"/>
    <w:rsid w:val="001571BD"/>
    <w:rsid w:val="002A71E0"/>
    <w:rsid w:val="00303E9F"/>
    <w:rsid w:val="00502F04"/>
    <w:rsid w:val="005602D7"/>
    <w:rsid w:val="005C7FE9"/>
    <w:rsid w:val="006859E2"/>
    <w:rsid w:val="006D3B66"/>
    <w:rsid w:val="007A70F6"/>
    <w:rsid w:val="007E043C"/>
    <w:rsid w:val="008737F6"/>
    <w:rsid w:val="00A63576"/>
    <w:rsid w:val="00AD38C1"/>
    <w:rsid w:val="00C31D42"/>
    <w:rsid w:val="00E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13338-6983-47E9-AE63-95C58D53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9F"/>
    <w:pPr>
      <w:ind w:left="720"/>
      <w:contextualSpacing/>
    </w:pPr>
  </w:style>
  <w:style w:type="paragraph" w:styleId="Header">
    <w:name w:val="header"/>
    <w:aliases w:val="Header Char1,Header Char Char,Header Char Char Char Char,Header Char Char1 Char,Header Char Char Char1,Header Char Char2"/>
    <w:basedOn w:val="Normal"/>
    <w:link w:val="HeaderChar"/>
    <w:rsid w:val="006859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1 Char,Header Char Char Char,Header Char Char Char Char Char,Header Char Char1 Char Char,Header Char Char Char1 Char,Header Char Char2 Char"/>
    <w:basedOn w:val="DefaultParagraphFont"/>
    <w:link w:val="Header"/>
    <w:rsid w:val="006859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1D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31D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3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Occhiuzzo, John</dc:creator>
  <cp:keywords/>
  <dc:description/>
  <cp:lastModifiedBy>Sieg, Elsa</cp:lastModifiedBy>
  <cp:revision>4</cp:revision>
  <dcterms:created xsi:type="dcterms:W3CDTF">2020-01-21T20:56:00Z</dcterms:created>
  <dcterms:modified xsi:type="dcterms:W3CDTF">2020-02-24T20:02:00Z</dcterms:modified>
</cp:coreProperties>
</file>