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5"/>
        <w:gridCol w:w="6915"/>
      </w:tblGrid>
      <w:tr w:rsidR="00FF7919" w:rsidTr="7182F191" w14:paraId="79C18402" w14:textId="77777777">
        <w:tc>
          <w:tcPr>
            <w:tcW w:w="532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6915" w:type="dxa"/>
            <w:shd w:val="clear" w:color="auto" w:fill="E8AA31"/>
            <w:vAlign w:val="center"/>
          </w:tcPr>
          <w:p w:rsidRPr="00EC04A6" w:rsidR="00FF7919" w:rsidP="7182F191" w:rsidRDefault="5B077B6B" w14:paraId="783DE685" w14:textId="5B904822">
            <w:pPr>
              <w:pStyle w:val="Title"/>
              <w:ind w:right="576"/>
              <w:jc w:val="right"/>
            </w:pPr>
            <w:r w:rsidRPr="7182F191">
              <w:rPr>
                <w:rFonts w:ascii="Arial Black" w:hAnsi="Arial Black"/>
                <w:color w:val="002060"/>
                <w:sz w:val="36"/>
                <w:szCs w:val="36"/>
              </w:rPr>
              <w:t>Analyzing Postsecondary Data</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21DAAAD0"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29F1505E">
            <w:pPr>
              <w:jc w:val="center"/>
              <w:rPr>
                <w:b/>
                <w:bCs/>
                <w:color w:val="FFFFFF" w:themeColor="background1"/>
                <w:sz w:val="24"/>
                <w:szCs w:val="24"/>
              </w:rPr>
            </w:pPr>
            <w:r w:rsidRPr="7182F191">
              <w:rPr>
                <w:b/>
                <w:bCs/>
                <w:color w:val="FFFFFF" w:themeColor="background1"/>
                <w:sz w:val="24"/>
                <w:szCs w:val="24"/>
              </w:rPr>
              <w:t>Step</w:t>
            </w:r>
            <w:r w:rsidRPr="7182F191" w:rsidR="2F693CEB">
              <w:rPr>
                <w:b/>
                <w:bCs/>
                <w:color w:val="FFFFFF" w:themeColor="background1"/>
                <w:sz w:val="24"/>
                <w:szCs w:val="24"/>
              </w:rPr>
              <w:t xml:space="preserve"> </w:t>
            </w:r>
            <w:r w:rsidRPr="7182F191" w:rsidR="40EEDDA1">
              <w:rPr>
                <w:b/>
                <w:bCs/>
                <w:color w:val="FFFFFF" w:themeColor="background1"/>
                <w:sz w:val="24"/>
                <w:szCs w:val="24"/>
              </w:rPr>
              <w:t>3</w:t>
            </w:r>
          </w:p>
        </w:tc>
        <w:tc>
          <w:tcPr>
            <w:tcW w:w="9200" w:type="dxa"/>
            <w:tcBorders>
              <w:top w:val="nil"/>
              <w:left w:val="nil"/>
              <w:bottom w:val="dotted" w:color="FFFFFF" w:themeColor="background1" w:sz="12" w:space="0"/>
              <w:right w:val="nil"/>
            </w:tcBorders>
            <w:shd w:val="clear" w:color="auto" w:fill="D1D1D1"/>
            <w:vAlign w:val="center"/>
          </w:tcPr>
          <w:p w:rsidR="648588D0" w:rsidP="7182F191" w:rsidRDefault="40EEDDA1" w14:paraId="0AC023B6" w14:textId="1BB2E454">
            <w:pPr>
              <w:rPr>
                <w:rFonts w:eastAsiaTheme="minorEastAsia"/>
                <w:sz w:val="28"/>
                <w:szCs w:val="28"/>
              </w:rPr>
            </w:pPr>
            <w:r w:rsidRPr="7182F191">
              <w:rPr>
                <w:rFonts w:eastAsiaTheme="minorEastAsia"/>
                <w:sz w:val="28"/>
                <w:szCs w:val="28"/>
              </w:rPr>
              <w:t>Explore postsecondary training</w:t>
            </w:r>
            <w:r w:rsidRPr="7182F191" w:rsidR="72983CD1">
              <w:rPr>
                <w:rFonts w:eastAsiaTheme="minorEastAsia"/>
                <w:sz w:val="28"/>
                <w:szCs w:val="28"/>
              </w:rPr>
              <w:t>.</w:t>
            </w:r>
          </w:p>
        </w:tc>
      </w:tr>
      <w:tr w:rsidR="79BEEDB6" w:rsidTr="21DAAAD0"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7182F191" w:rsidRDefault="299E8BAC" w14:paraId="3AFC481C" w14:textId="4E4CA96B">
            <w:pPr>
              <w:rPr>
                <w:rFonts w:eastAsiaTheme="minorEastAsia"/>
                <w:sz w:val="28"/>
                <w:szCs w:val="28"/>
              </w:rPr>
            </w:pPr>
            <w:r w:rsidRPr="7182F191">
              <w:rPr>
                <w:rFonts w:eastAsiaTheme="minorEastAsia"/>
                <w:sz w:val="28"/>
                <w:szCs w:val="28"/>
              </w:rPr>
              <w:t>How do my training options compare?</w:t>
            </w:r>
          </w:p>
        </w:tc>
      </w:tr>
      <w:tr w:rsidR="00BF5F1A" w:rsidTr="21DAAAD0"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21DAAAD0" w:rsidRDefault="5E6BBD20" w14:paraId="55A90FB7" w14:textId="4F3544D3">
            <w:pPr>
              <w:spacing w:line="259" w:lineRule="auto"/>
              <w:rPr>
                <w:rFonts w:eastAsiaTheme="minorEastAsia"/>
                <w:sz w:val="28"/>
                <w:szCs w:val="28"/>
              </w:rPr>
            </w:pPr>
            <w:r w:rsidRPr="21DAAAD0">
              <w:rPr>
                <w:rFonts w:eastAsiaTheme="minorEastAsia"/>
                <w:sz w:val="28"/>
                <w:szCs w:val="28"/>
              </w:rPr>
              <w:t xml:space="preserve">Students will compare </w:t>
            </w:r>
            <w:r w:rsidRPr="21DAAAD0" w:rsidR="399B2FDA">
              <w:rPr>
                <w:rFonts w:eastAsiaTheme="minorEastAsia"/>
                <w:sz w:val="28"/>
                <w:szCs w:val="28"/>
              </w:rPr>
              <w:t xml:space="preserve">the </w:t>
            </w:r>
            <w:r w:rsidRPr="21DAAAD0">
              <w:rPr>
                <w:rFonts w:eastAsiaTheme="minorEastAsia"/>
                <w:sz w:val="28"/>
                <w:szCs w:val="28"/>
              </w:rPr>
              <w:t>performance and outcome data</w:t>
            </w:r>
            <w:r w:rsidRPr="21DAAAD0" w:rsidR="6FC22496">
              <w:rPr>
                <w:rFonts w:eastAsiaTheme="minorEastAsia"/>
                <w:sz w:val="28"/>
                <w:szCs w:val="28"/>
              </w:rPr>
              <w:t xml:space="preserve"> from m</w:t>
            </w:r>
            <w:r w:rsidRPr="21DAAAD0" w:rsidR="30592869">
              <w:rPr>
                <w:rFonts w:eastAsiaTheme="minorEastAsia"/>
                <w:sz w:val="28"/>
                <w:szCs w:val="28"/>
              </w:rPr>
              <w:t>ultiple postsecondary training options.</w:t>
            </w:r>
          </w:p>
        </w:tc>
      </w:tr>
      <w:tr w:rsidR="39FB8949" w:rsidTr="21DAAAD0"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7182F191" w:rsidRDefault="6A7CA4B6" w14:paraId="211A7182" w14:textId="62DA6CD0">
            <w:pPr>
              <w:spacing w:line="259" w:lineRule="auto"/>
              <w:rPr>
                <w:rFonts w:eastAsiaTheme="minorEastAsia"/>
                <w:sz w:val="28"/>
                <w:szCs w:val="28"/>
              </w:rPr>
            </w:pPr>
            <w:r w:rsidRPr="7182F191">
              <w:rPr>
                <w:rFonts w:eastAsiaTheme="minorEastAsia"/>
                <w:sz w:val="28"/>
                <w:szCs w:val="28"/>
              </w:rPr>
              <w:t xml:space="preserve">Describe a diversity of postsecondary pathways. (CR.1.3)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56A9708A"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7725AE00" w:rsidRDefault="003A7ABA" w14:paraId="7B93F4D5" w14:textId="2E0BC001">
            <w:pPr>
              <w:rPr>
                <w:rFonts w:eastAsiaTheme="minorEastAsia"/>
              </w:rPr>
            </w:pPr>
            <w:r>
              <w:rPr>
                <w:rFonts w:eastAsiaTheme="minorEastAsia"/>
              </w:rPr>
              <w:t>2 to 4 roughly hour-long lessons.</w:t>
            </w:r>
          </w:p>
        </w:tc>
      </w:tr>
      <w:tr w:rsidR="5BB95453" w:rsidTr="56A9708A"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56A9708A" w:rsidRDefault="00A019B8" w14:paraId="50940ADB" w14:textId="088C8969">
            <w:pPr>
              <w:rPr>
                <w:rFonts w:eastAsia="" w:eastAsiaTheme="minorEastAsia"/>
              </w:rPr>
            </w:pPr>
            <w:r w:rsidRPr="56A9708A" w:rsidR="00A019B8">
              <w:rPr>
                <w:rFonts w:eastAsia="" w:eastAsiaTheme="minorEastAsia"/>
              </w:rPr>
              <w:t>Internet and digital device access.  This lesson can be done with print offs of the data of three local training providers, such as a technical college, a state or community college and a university.</w:t>
            </w:r>
          </w:p>
        </w:tc>
      </w:tr>
      <w:tr w:rsidR="00CE41CD" w:rsidTr="56A9708A" w14:paraId="2FBBA28D" w14:textId="77777777">
        <w:trPr>
          <w:trHeight w:val="390"/>
        </w:trPr>
        <w:tc>
          <w:tcPr>
            <w:tcW w:w="1620" w:type="dxa"/>
            <w:tcBorders>
              <w:top w:val="dotted" w:color="FFFFFF" w:themeColor="background1" w:sz="12" w:space="0"/>
            </w:tcBorders>
            <w:shd w:val="clear" w:color="auto" w:fill="162662"/>
            <w:tcMar/>
            <w:vAlign w:val="center"/>
          </w:tcPr>
          <w:p w:rsidRPr="5BB95453" w:rsidR="00CE41CD" w:rsidP="5BB95453" w:rsidRDefault="00CE41CD" w14:paraId="390051C5" w14:textId="1E7CE597">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00CE41CD" w:rsidR="00CE41CD" w:rsidP="00CE41CD" w:rsidRDefault="00EA3E8C" w14:paraId="5C4DCCEE" w14:textId="5AA2D8F1">
            <w:hyperlink w:tgtFrame="_blank" w:history="1" r:id="rId11">
              <w:r w:rsidRPr="00CE41CD" w:rsidR="00CE41CD">
                <w:rPr>
                  <w:rStyle w:val="Hyperlink"/>
                </w:rPr>
                <w:t>Xello</w:t>
              </w:r>
            </w:hyperlink>
            <w:r w:rsidRPr="00CE41CD" w:rsidR="00CE41CD">
              <w:t>, Florida’s official K-12 public school career planning and work-based learning coordination system, has tools you can use on this topic!  Within the system, navigate to ‘Explore’ and then ‘Schools.’ Select postsecondary training opportunities relevant to you to view their data.</w:t>
            </w:r>
          </w:p>
        </w:tc>
      </w:tr>
      <w:tr w:rsidR="5BB95453" w:rsidTr="56A9708A"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5BB95453" w:rsidRDefault="00897455" w14:paraId="3EFE0A15" w14:textId="0AC37EB1">
            <w:pPr>
              <w:pStyle w:val="ListParagraph"/>
              <w:numPr>
                <w:ilvl w:val="0"/>
                <w:numId w:val="5"/>
              </w:numPr>
              <w:rPr>
                <w:rFonts w:eastAsiaTheme="minorEastAsia"/>
              </w:rPr>
            </w:pPr>
            <w:r>
              <w:rPr>
                <w:rFonts w:eastAsiaTheme="minorEastAsia"/>
              </w:rPr>
              <w:t xml:space="preserve">Students compare data in sports (touchdowns, wins, tackles), gaming (rank, score), and social media (followers, likes, shares) all the time!  Draw comparisons from these familiar data reference points and let the students know that we will be comparing data from postsecondary training providers. </w:t>
            </w:r>
          </w:p>
          <w:p w:rsidR="238635AF" w:rsidP="5BB95453" w:rsidRDefault="238635AF" w14:paraId="2A592DC0" w14:textId="665E07AE">
            <w:pPr>
              <w:rPr>
                <w:rFonts w:eastAsiaTheme="minorEastAsia"/>
              </w:rPr>
            </w:pPr>
            <w:r w:rsidRPr="5BB95453">
              <w:rPr>
                <w:rFonts w:eastAsiaTheme="minorEastAsia"/>
                <w:b/>
                <w:bCs/>
              </w:rPr>
              <w:t>Middle</w:t>
            </w:r>
          </w:p>
          <w:p w:rsidR="5BB95453" w:rsidP="5BB95453" w:rsidRDefault="00A019B8" w14:paraId="29C9E7D0" w14:textId="66EA4D91">
            <w:pPr>
              <w:pStyle w:val="ListParagraph"/>
              <w:numPr>
                <w:ilvl w:val="0"/>
                <w:numId w:val="4"/>
              </w:numPr>
              <w:rPr>
                <w:rFonts w:eastAsiaTheme="minorEastAsia"/>
              </w:rPr>
            </w:pPr>
            <w:r>
              <w:rPr>
                <w:rFonts w:eastAsiaTheme="minorEastAsia"/>
              </w:rPr>
              <w:t>Students will compare the data from three postsecondary training providers they are most interested in attending.</w:t>
            </w:r>
          </w:p>
          <w:p w:rsidR="238635AF" w:rsidP="5BB95453" w:rsidRDefault="238635AF" w14:paraId="30F006BA" w14:textId="4B16B90B">
            <w:pPr>
              <w:rPr>
                <w:rFonts w:eastAsiaTheme="minorEastAsia"/>
              </w:rPr>
            </w:pPr>
            <w:r w:rsidRPr="5BB95453">
              <w:rPr>
                <w:rFonts w:eastAsiaTheme="minorEastAsia"/>
                <w:b/>
                <w:bCs/>
              </w:rPr>
              <w:t>End</w:t>
            </w:r>
          </w:p>
          <w:p w:rsidR="5BB95453" w:rsidP="5BB95453" w:rsidRDefault="00A019B8" w14:paraId="57EFCF9F" w14:textId="36A2250A">
            <w:pPr>
              <w:pStyle w:val="ListParagraph"/>
              <w:numPr>
                <w:ilvl w:val="0"/>
                <w:numId w:val="2"/>
              </w:numPr>
              <w:rPr>
                <w:rFonts w:eastAsiaTheme="minorEastAsia"/>
              </w:rPr>
            </w:pPr>
            <w:r>
              <w:rPr>
                <w:rFonts w:eastAsiaTheme="minorEastAsia"/>
              </w:rPr>
              <w:t>Have students discuss with a partner what training provider data metric impressed them the most and which data number disappointed them the most.</w:t>
            </w:r>
          </w:p>
          <w:p w:rsidR="14D4FC63" w:rsidP="5BB95453" w:rsidRDefault="14D4FC63" w14:paraId="1E317738" w14:textId="62520682">
            <w:pPr>
              <w:rPr>
                <w:rFonts w:eastAsiaTheme="minorEastAsia"/>
              </w:rPr>
            </w:pPr>
            <w:r w:rsidRPr="5BB95453">
              <w:rPr>
                <w:rFonts w:eastAsiaTheme="minorEastAsia"/>
                <w:b/>
                <w:bCs/>
              </w:rPr>
              <w:t>Extension</w:t>
            </w:r>
            <w:r w:rsidR="003A7ABA">
              <w:rPr>
                <w:rFonts w:eastAsiaTheme="minorEastAsia"/>
                <w:b/>
                <w:bCs/>
              </w:rPr>
              <w:t>s</w:t>
            </w:r>
          </w:p>
          <w:p w:rsidR="5BB95453" w:rsidP="00A019B8" w:rsidRDefault="00A019B8" w14:paraId="7415B22E" w14:textId="00E2DB15">
            <w:pPr>
              <w:pStyle w:val="ListParagraph"/>
              <w:numPr>
                <w:ilvl w:val="0"/>
                <w:numId w:val="1"/>
              </w:numPr>
              <w:rPr>
                <w:rFonts w:eastAsiaTheme="minorEastAsia"/>
              </w:rPr>
            </w:pPr>
            <w:r>
              <w:rPr>
                <w:rFonts w:eastAsiaTheme="minorEastAsia"/>
              </w:rPr>
              <w:t>Have students choose one data point (e.g., graduation rate, cost, earnings) and research what factors can cause this number to be high or low for a training provider.</w:t>
            </w:r>
          </w:p>
          <w:p w:rsidR="00A019B8" w:rsidP="56A9708A" w:rsidRDefault="00A019B8" w14:paraId="25C6B6CB" w14:textId="42973360">
            <w:pPr>
              <w:pStyle w:val="ListParagraph"/>
              <w:numPr>
                <w:ilvl w:val="0"/>
                <w:numId w:val="1"/>
              </w:numPr>
              <w:rPr>
                <w:rFonts w:eastAsia="" w:eastAsiaTheme="minorEastAsia"/>
              </w:rPr>
            </w:pPr>
            <w:r w:rsidRPr="56A9708A" w:rsidR="00A019B8">
              <w:rPr>
                <w:rFonts w:eastAsia="" w:eastAsiaTheme="minorEastAsia"/>
              </w:rPr>
              <w:t>Have students present</w:t>
            </w:r>
            <w:r w:rsidRPr="56A9708A" w:rsidR="003A7ABA">
              <w:rPr>
                <w:rFonts w:eastAsia="" w:eastAsiaTheme="minorEastAsia"/>
              </w:rPr>
              <w:t xml:space="preserve"> to</w:t>
            </w:r>
            <w:r w:rsidRPr="56A9708A" w:rsidR="00A019B8">
              <w:rPr>
                <w:rFonts w:eastAsia="" w:eastAsiaTheme="minorEastAsia"/>
              </w:rPr>
              <w:t xml:space="preserve"> the class (PowerPoint, display board, table or other means) a comparison of the data across their three chosen training providers and explain, based on their research and best guess</w:t>
            </w:r>
            <w:r w:rsidRPr="56A9708A" w:rsidR="003A7ABA">
              <w:rPr>
                <w:rFonts w:eastAsia="" w:eastAsiaTheme="minorEastAsia"/>
              </w:rPr>
              <w:t>es</w:t>
            </w:r>
            <w:r w:rsidRPr="56A9708A" w:rsidR="00A019B8">
              <w:rPr>
                <w:rFonts w:eastAsia="" w:eastAsiaTheme="minorEastAsia"/>
              </w:rPr>
              <w:t>, why the figures vary so much across the different training providers.</w:t>
            </w:r>
          </w:p>
          <w:p w:rsidR="00A019B8" w:rsidP="29D0F0AE" w:rsidRDefault="31B39B28" w14:paraId="0567C4AD" w14:textId="0654C476">
            <w:pPr>
              <w:pStyle w:val="ListParagraph"/>
              <w:numPr>
                <w:ilvl w:val="0"/>
                <w:numId w:val="1"/>
              </w:numPr>
              <w:rPr>
                <w:rFonts w:eastAsiaTheme="minorEastAsia"/>
              </w:rPr>
            </w:pPr>
            <w:r w:rsidRPr="29D0F0AE">
              <w:rPr>
                <w:rFonts w:eastAsiaTheme="minorEastAsia"/>
              </w:rPr>
              <w:t xml:space="preserve">Have students </w:t>
            </w:r>
            <w:r w:rsidRPr="29D0F0AE" w:rsidR="25E0998A">
              <w:rPr>
                <w:rFonts w:eastAsiaTheme="minorEastAsia"/>
              </w:rPr>
              <w:t>visit</w:t>
            </w:r>
            <w:r w:rsidRPr="29D0F0AE">
              <w:rPr>
                <w:rFonts w:eastAsiaTheme="minorEastAsia"/>
              </w:rPr>
              <w:t xml:space="preserve"> </w:t>
            </w:r>
            <w:hyperlink r:id="rId12">
              <w:r w:rsidRPr="29D0F0AE">
                <w:rPr>
                  <w:rStyle w:val="Hyperlink"/>
                  <w:rFonts w:eastAsiaTheme="minorEastAsia"/>
                </w:rPr>
                <w:t>Florida’s Public Higher Education Portal</w:t>
              </w:r>
            </w:hyperlink>
            <w:r w:rsidRPr="29D0F0AE" w:rsidR="7BA04719">
              <w:rPr>
                <w:rFonts w:eastAsiaTheme="minorEastAsia"/>
              </w:rPr>
              <w:t xml:space="preserve"> to </w:t>
            </w:r>
            <w:r w:rsidRPr="29D0F0AE" w:rsidR="39B07295">
              <w:rPr>
                <w:rFonts w:eastAsiaTheme="minorEastAsia"/>
              </w:rPr>
              <w:t>review</w:t>
            </w:r>
            <w:r w:rsidRPr="29D0F0AE" w:rsidR="7BA04719">
              <w:rPr>
                <w:rFonts w:eastAsiaTheme="minorEastAsia"/>
              </w:rPr>
              <w:t xml:space="preserve"> th</w:t>
            </w:r>
            <w:r w:rsidRPr="29D0F0AE" w:rsidR="5DA8EF4F">
              <w:rPr>
                <w:rFonts w:eastAsiaTheme="minorEastAsia"/>
              </w:rPr>
              <w:t>e</w:t>
            </w:r>
            <w:r w:rsidRPr="29D0F0AE" w:rsidR="1C4DD481">
              <w:rPr>
                <w:rFonts w:eastAsiaTheme="minorEastAsia"/>
              </w:rPr>
              <w:t xml:space="preserve"> median</w:t>
            </w:r>
            <w:r w:rsidRPr="29D0F0AE" w:rsidR="5DA8EF4F">
              <w:rPr>
                <w:rFonts w:eastAsiaTheme="minorEastAsia"/>
              </w:rPr>
              <w:t xml:space="preserve"> starting salaries of </w:t>
            </w:r>
            <w:r w:rsidRPr="29D0F0AE" w:rsidR="5A0F5700">
              <w:rPr>
                <w:rFonts w:eastAsiaTheme="minorEastAsia"/>
              </w:rPr>
              <w:t xml:space="preserve">graduates of programs </w:t>
            </w:r>
            <w:r w:rsidRPr="29D0F0AE" w:rsidR="1C9237F8">
              <w:rPr>
                <w:rFonts w:eastAsiaTheme="minorEastAsia"/>
              </w:rPr>
              <w:t>offered at</w:t>
            </w:r>
            <w:r w:rsidRPr="29D0F0AE" w:rsidR="5A0F5700">
              <w:rPr>
                <w:rFonts w:eastAsiaTheme="minorEastAsia"/>
              </w:rPr>
              <w:t xml:space="preserve"> </w:t>
            </w:r>
            <w:r w:rsidRPr="29D0F0AE" w:rsidR="5DA8EF4F">
              <w:rPr>
                <w:rFonts w:eastAsiaTheme="minorEastAsia"/>
              </w:rPr>
              <w:t>Florida’s</w:t>
            </w:r>
            <w:r w:rsidRPr="29D0F0AE" w:rsidR="7D152CFD">
              <w:rPr>
                <w:rFonts w:eastAsiaTheme="minorEastAsia"/>
              </w:rPr>
              <w:t xml:space="preserve"> public</w:t>
            </w:r>
            <w:r w:rsidRPr="29D0F0AE" w:rsidR="5DA8EF4F">
              <w:rPr>
                <w:rFonts w:eastAsiaTheme="minorEastAsia"/>
              </w:rPr>
              <w:t xml:space="preserve"> technical college</w:t>
            </w:r>
            <w:r w:rsidRPr="29D0F0AE" w:rsidR="595AB84C">
              <w:rPr>
                <w:rFonts w:eastAsiaTheme="minorEastAsia"/>
              </w:rPr>
              <w:t>s</w:t>
            </w:r>
            <w:r w:rsidRPr="29D0F0AE" w:rsidR="5DA8EF4F">
              <w:rPr>
                <w:rFonts w:eastAsiaTheme="minorEastAsia"/>
              </w:rPr>
              <w:t xml:space="preserve">, </w:t>
            </w:r>
            <w:r w:rsidRPr="29D0F0AE" w:rsidR="4B5968BB">
              <w:rPr>
                <w:rFonts w:eastAsiaTheme="minorEastAsia"/>
              </w:rPr>
              <w:t xml:space="preserve">state or community colleges, and universities. </w:t>
            </w:r>
            <w:r w:rsidRPr="29D0F0AE" w:rsidR="5AF2B9B2">
              <w:rPr>
                <w:rFonts w:eastAsiaTheme="minorEastAsia"/>
              </w:rPr>
              <w:t xml:space="preserve"> Ask them to report the yearly salary</w:t>
            </w:r>
            <w:r w:rsidRPr="29D0F0AE" w:rsidR="3B3E1EB8">
              <w:rPr>
                <w:rFonts w:eastAsiaTheme="minorEastAsia"/>
              </w:rPr>
              <w:t xml:space="preserve"> for a program and institution they are interested in and then ask them to compare this salary at other institutions and programs that align with their career and training goals.</w:t>
            </w:r>
          </w:p>
        </w:tc>
      </w:tr>
    </w:tbl>
    <w:p w:rsidR="00EA3E8C" w:rsidP="006913D1" w:rsidRDefault="00EA3E8C" w14:paraId="320C4D1B" w14:textId="0A541ADF">
      <w:pPr>
        <w:spacing w:after="0"/>
      </w:pPr>
    </w:p>
    <w:p w:rsidR="00EA3E8C" w:rsidRDefault="00EA3E8C" w14:paraId="57978EB0"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bookmarkStart w:name="_GoBack" w:id="0"/>
            <w:bookmarkEnd w:id="0"/>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0009727E"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7182F191" w:rsidRDefault="5D0BEE16" w14:paraId="56C68CCD" w14:textId="597E949F">
      <w:pPr>
        <w:spacing w:after="0"/>
        <w:rPr>
          <w:b/>
          <w:bCs/>
        </w:rPr>
      </w:pPr>
      <w:r w:rsidRPr="7182F191">
        <w:rPr>
          <w:b/>
          <w:bCs/>
        </w:rPr>
        <w:t>Understanding Postsecondary Data</w:t>
      </w:r>
    </w:p>
    <w:p w:rsidR="00B51B86" w:rsidP="7182F191" w:rsidRDefault="00B51B86" w14:paraId="6818896D" w14:textId="3864714C">
      <w:pPr>
        <w:spacing w:after="0"/>
        <w:rPr>
          <w:b/>
          <w:bCs/>
        </w:rPr>
      </w:pPr>
      <w:r>
        <w:rPr>
          <w:bCs/>
        </w:rPr>
        <w:t xml:space="preserve">Below is a list of common data used to understand postsecondary training providers.  Read the table and then be ready to apply your knowledge to compare three institutions that you choose.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3510"/>
        <w:gridCol w:w="3510"/>
        <w:gridCol w:w="1440"/>
      </w:tblGrid>
      <w:tr w:rsidR="00643D03" w:rsidTr="56A9708A" w14:paraId="7E51D0FF" w14:textId="77777777">
        <w:trPr>
          <w:trHeight w:val="390"/>
        </w:trPr>
        <w:tc>
          <w:tcPr>
            <w:tcW w:w="2340" w:type="dxa"/>
            <w:tcBorders>
              <w:bottom w:val="dotted" w:color="FFFFFF" w:themeColor="background1" w:sz="12" w:space="0"/>
            </w:tcBorders>
            <w:shd w:val="clear" w:color="auto" w:fill="162662"/>
            <w:tcMar/>
            <w:vAlign w:val="center"/>
          </w:tcPr>
          <w:p w:rsidR="00643D03" w:rsidP="00643D03" w:rsidRDefault="00643D03" w14:paraId="3303C32E" w14:textId="754A1448">
            <w:pPr>
              <w:spacing w:line="259" w:lineRule="auto"/>
              <w:jc w:val="center"/>
              <w:rPr>
                <w:rFonts w:ascii="Calibri" w:hAnsi="Calibri" w:eastAsia="Calibri" w:cs="Calibri"/>
                <w:sz w:val="24"/>
                <w:szCs w:val="24"/>
              </w:rPr>
            </w:pPr>
            <w:r>
              <w:rPr>
                <w:rFonts w:ascii="Calibri" w:hAnsi="Calibri" w:eastAsia="Calibri" w:cs="Calibri"/>
                <w:b/>
                <w:bCs/>
                <w:color w:val="FFFFFF" w:themeColor="background1"/>
                <w:sz w:val="24"/>
                <w:szCs w:val="24"/>
              </w:rPr>
              <w:t>Metric</w:t>
            </w:r>
          </w:p>
        </w:tc>
        <w:tc>
          <w:tcPr>
            <w:tcW w:w="3510" w:type="dxa"/>
            <w:tcBorders>
              <w:bottom w:val="dotted" w:color="FFFFFF" w:themeColor="background1" w:sz="12" w:space="0"/>
            </w:tcBorders>
            <w:shd w:val="clear" w:color="auto" w:fill="162662"/>
            <w:tcMar/>
            <w:vAlign w:val="center"/>
          </w:tcPr>
          <w:p w:rsidRPr="00643D03" w:rsidR="00643D03" w:rsidP="00643D03" w:rsidRDefault="00643D03" w14:paraId="57781DE5" w14:textId="6C2161BA">
            <w:pPr>
              <w:spacing w:line="259" w:lineRule="auto"/>
              <w:jc w:val="center"/>
              <w:rPr>
                <w:rFonts w:ascii="Calibri" w:hAnsi="Calibri" w:eastAsia="Calibri" w:cs="Calibri"/>
                <w:bCs/>
                <w:color w:val="FFFFFF" w:themeColor="background1"/>
                <w:sz w:val="24"/>
                <w:szCs w:val="24"/>
              </w:rPr>
            </w:pPr>
            <w:r>
              <w:rPr>
                <w:rFonts w:ascii="Calibri" w:hAnsi="Calibri" w:eastAsia="Calibri" w:cs="Calibri"/>
                <w:b/>
                <w:bCs/>
                <w:color w:val="FFFFFF" w:themeColor="background1"/>
                <w:sz w:val="24"/>
                <w:szCs w:val="24"/>
              </w:rPr>
              <w:t>Informal, Conceptual Definition</w:t>
            </w:r>
          </w:p>
        </w:tc>
        <w:tc>
          <w:tcPr>
            <w:tcW w:w="3510" w:type="dxa"/>
            <w:tcBorders>
              <w:bottom w:val="dotted" w:color="FFFFFF" w:themeColor="background1" w:sz="12" w:space="0"/>
            </w:tcBorders>
            <w:shd w:val="clear" w:color="auto" w:fill="162662"/>
            <w:tcMar/>
            <w:vAlign w:val="center"/>
          </w:tcPr>
          <w:p w:rsidRPr="00643D03" w:rsidR="00643D03" w:rsidP="00643D03" w:rsidRDefault="00643D03" w14:paraId="54AB041E" w14:textId="1ECEBE1B">
            <w:pPr>
              <w:spacing w:line="259" w:lineRule="auto"/>
              <w:jc w:val="center"/>
              <w:rPr>
                <w:rFonts w:ascii="Calibri" w:hAnsi="Calibri" w:eastAsia="Calibri" w:cs="Calibri"/>
                <w:bCs/>
                <w:color w:val="FFFFFF" w:themeColor="background1"/>
                <w:sz w:val="24"/>
                <w:szCs w:val="24"/>
              </w:rPr>
            </w:pPr>
            <w:r>
              <w:rPr>
                <w:rFonts w:ascii="Calibri" w:hAnsi="Calibri" w:eastAsia="Calibri" w:cs="Calibri"/>
                <w:b/>
                <w:bCs/>
                <w:color w:val="FFFFFF" w:themeColor="background1"/>
                <w:sz w:val="24"/>
                <w:szCs w:val="24"/>
              </w:rPr>
              <w:t>W</w:t>
            </w:r>
            <w:r w:rsidR="00D929C9">
              <w:rPr>
                <w:rFonts w:ascii="Calibri" w:hAnsi="Calibri" w:eastAsia="Calibri" w:cs="Calibri"/>
                <w:b/>
                <w:bCs/>
                <w:color w:val="FFFFFF" w:themeColor="background1"/>
                <w:sz w:val="24"/>
                <w:szCs w:val="24"/>
              </w:rPr>
              <w:t>hy the Data</w:t>
            </w:r>
            <w:r>
              <w:rPr>
                <w:rFonts w:ascii="Calibri" w:hAnsi="Calibri" w:eastAsia="Calibri" w:cs="Calibri"/>
                <w:b/>
                <w:bCs/>
                <w:color w:val="FFFFFF" w:themeColor="background1"/>
                <w:sz w:val="24"/>
                <w:szCs w:val="24"/>
              </w:rPr>
              <w:t xml:space="preserve"> Matters</w:t>
            </w:r>
          </w:p>
        </w:tc>
        <w:tc>
          <w:tcPr>
            <w:tcW w:w="1440" w:type="dxa"/>
            <w:tcBorders>
              <w:bottom w:val="dotted" w:color="FFFFFF" w:themeColor="background1" w:sz="12" w:space="0"/>
            </w:tcBorders>
            <w:shd w:val="clear" w:color="auto" w:fill="162662"/>
            <w:tcMar/>
            <w:vAlign w:val="center"/>
          </w:tcPr>
          <w:p w:rsidRPr="00643D03" w:rsidR="00643D03" w:rsidP="00643D03" w:rsidRDefault="00643D03" w14:paraId="7502F6FF" w14:textId="31123DDF">
            <w:pPr>
              <w:jc w:val="center"/>
              <w:rPr>
                <w:rFonts w:ascii="Calibri" w:hAnsi="Calibri" w:eastAsia="Calibri" w:cs="Calibri"/>
                <w:bCs/>
                <w:color w:val="FFFFFF" w:themeColor="background1"/>
                <w:sz w:val="24"/>
                <w:szCs w:val="24"/>
              </w:rPr>
            </w:pPr>
            <w:r>
              <w:rPr>
                <w:rFonts w:ascii="Calibri" w:hAnsi="Calibri" w:eastAsia="Calibri" w:cs="Calibri"/>
                <w:b/>
                <w:bCs/>
                <w:color w:val="FFFFFF" w:themeColor="background1"/>
                <w:sz w:val="24"/>
                <w:szCs w:val="24"/>
              </w:rPr>
              <w:t>Example</w:t>
            </w:r>
          </w:p>
        </w:tc>
      </w:tr>
      <w:tr w:rsidR="7182F191" w:rsidTr="56A9708A" w14:paraId="0B085503" w14:textId="77777777">
        <w:trPr>
          <w:trHeight w:val="96"/>
        </w:trPr>
        <w:tc>
          <w:tcPr>
            <w:tcW w:w="2340" w:type="dxa"/>
            <w:tcBorders>
              <w:top w:val="dotted" w:color="FFFFFF" w:themeColor="background1" w:sz="12" w:space="0"/>
              <w:bottom w:val="dotted" w:color="FFFFFF" w:themeColor="background1" w:sz="12" w:space="0"/>
            </w:tcBorders>
            <w:shd w:val="clear" w:color="auto" w:fill="auto"/>
            <w:tcMar/>
            <w:vAlign w:val="center"/>
          </w:tcPr>
          <w:p w:rsidRPr="00D929C9" w:rsidR="7182F191" w:rsidP="00D929C9" w:rsidRDefault="00643D03" w14:paraId="019A0827" w14:textId="1E197662">
            <w:pPr>
              <w:spacing w:line="259" w:lineRule="auto"/>
              <w:rPr>
                <w:b/>
                <w:bCs/>
                <w:sz w:val="24"/>
                <w:szCs w:val="24"/>
              </w:rPr>
            </w:pPr>
            <w:r w:rsidRPr="00D929C9">
              <w:rPr>
                <w:b/>
                <w:bCs/>
                <w:sz w:val="24"/>
                <w:szCs w:val="24"/>
              </w:rPr>
              <w:t>Average Annual Cost</w:t>
            </w:r>
          </w:p>
        </w:tc>
        <w:tc>
          <w:tcPr>
            <w:tcW w:w="3510" w:type="dxa"/>
            <w:tcBorders>
              <w:top w:val="dotted" w:color="FFFFFF" w:themeColor="background1" w:sz="12" w:space="0"/>
              <w:bottom w:val="dotted" w:color="FFFFFF" w:themeColor="background1" w:sz="12" w:space="0"/>
            </w:tcBorders>
            <w:tcMar/>
            <w:vAlign w:val="center"/>
          </w:tcPr>
          <w:p w:rsidRPr="00D743C6" w:rsidR="00D929C9" w:rsidP="00D929C9" w:rsidRDefault="00D929C9" w14:paraId="030842BF" w14:textId="77777777">
            <w:pPr>
              <w:rPr>
                <w:rFonts w:eastAsiaTheme="minorEastAsia"/>
                <w:bCs/>
                <w:sz w:val="24"/>
                <w:szCs w:val="24"/>
              </w:rPr>
            </w:pPr>
            <w:r w:rsidRPr="00D743C6">
              <w:rPr>
                <w:rFonts w:eastAsiaTheme="minorEastAsia"/>
                <w:bCs/>
                <w:sz w:val="24"/>
                <w:szCs w:val="24"/>
              </w:rPr>
              <w:t xml:space="preserve">The amount most people pay out-of-pocket per year. </w:t>
            </w:r>
          </w:p>
          <w:p w:rsidRPr="00D743C6" w:rsidR="00D929C9" w:rsidP="00D929C9" w:rsidRDefault="00D929C9" w14:paraId="405E6FB4" w14:textId="77777777">
            <w:pPr>
              <w:rPr>
                <w:rFonts w:eastAsiaTheme="minorEastAsia"/>
                <w:bCs/>
                <w:sz w:val="24"/>
                <w:szCs w:val="24"/>
              </w:rPr>
            </w:pPr>
          </w:p>
          <w:p w:rsidRPr="00D743C6" w:rsidR="7182F191" w:rsidP="21DAAAD0" w:rsidRDefault="0E1F12BF" w14:paraId="77B05444" w14:textId="428854B6">
            <w:pPr>
              <w:rPr>
                <w:rFonts w:eastAsiaTheme="minorEastAsia"/>
                <w:sz w:val="24"/>
                <w:szCs w:val="24"/>
              </w:rPr>
            </w:pPr>
            <w:r w:rsidRPr="21DAAAD0">
              <w:rPr>
                <w:rFonts w:eastAsiaTheme="minorEastAsia"/>
                <w:sz w:val="24"/>
                <w:szCs w:val="24"/>
              </w:rPr>
              <w:t>This includes tuition, living costs, books, supplies, and f</w:t>
            </w:r>
            <w:r w:rsidRPr="21DAAAD0" w:rsidR="69F45A06">
              <w:rPr>
                <w:rFonts w:eastAsiaTheme="minorEastAsia"/>
                <w:sz w:val="24"/>
                <w:szCs w:val="24"/>
              </w:rPr>
              <w:t>oo</w:t>
            </w:r>
            <w:r w:rsidRPr="21DAAAD0">
              <w:rPr>
                <w:rFonts w:eastAsiaTheme="minorEastAsia"/>
                <w:sz w:val="24"/>
                <w:szCs w:val="24"/>
              </w:rPr>
              <w:t xml:space="preserve">d minus the average grants and scholarships for Federal financial aid recipients.  This does not include non-Federal scholarships, which can be considerable. </w:t>
            </w:r>
          </w:p>
        </w:tc>
        <w:tc>
          <w:tcPr>
            <w:tcW w:w="3510" w:type="dxa"/>
            <w:tcBorders>
              <w:top w:val="dotted" w:color="FFFFFF" w:themeColor="background1" w:sz="12" w:space="0"/>
              <w:bottom w:val="dotted" w:color="FFFFFF" w:themeColor="background1" w:sz="12" w:space="0"/>
            </w:tcBorders>
            <w:tcMar/>
            <w:vAlign w:val="center"/>
          </w:tcPr>
          <w:p w:rsidRPr="00D743C6" w:rsidR="7182F191" w:rsidP="56A9708A" w:rsidRDefault="00D743C6" w14:paraId="3B3DFA6F" w14:textId="3A8FD849">
            <w:pPr>
              <w:rPr>
                <w:rFonts w:eastAsia="" w:eastAsiaTheme="minorEastAsia"/>
                <w:sz w:val="24"/>
                <w:szCs w:val="24"/>
              </w:rPr>
            </w:pPr>
            <w:r w:rsidRPr="56A9708A" w:rsidR="00D743C6">
              <w:rPr>
                <w:rFonts w:eastAsia="" w:eastAsiaTheme="minorEastAsia"/>
                <w:sz w:val="24"/>
                <w:szCs w:val="24"/>
              </w:rPr>
              <w:t>This can help you estimate the cost of postsecondary training.</w:t>
            </w:r>
            <w:r w:rsidRPr="56A9708A" w:rsidR="006F5D6D">
              <w:rPr>
                <w:rFonts w:eastAsia="" w:eastAsiaTheme="minorEastAsia"/>
                <w:sz w:val="24"/>
                <w:szCs w:val="24"/>
              </w:rPr>
              <w:t xml:space="preserve"> </w:t>
            </w:r>
            <w:r w:rsidRPr="56A9708A" w:rsidR="006F5D6D">
              <w:rPr>
                <w:rFonts w:eastAsia="" w:eastAsiaTheme="minorEastAsia"/>
                <w:sz w:val="24"/>
                <w:szCs w:val="24"/>
              </w:rPr>
              <w:t>Multiply this number by the number of years you plan to attend to estimate total costs.</w:t>
            </w:r>
            <w:r>
              <w:br/>
            </w:r>
            <w:r>
              <w:br/>
            </w:r>
            <w:r w:rsidRPr="56A9708A" w:rsidR="00D929C9">
              <w:rPr>
                <w:rFonts w:eastAsia="" w:eastAsiaTheme="minorEastAsia"/>
                <w:sz w:val="24"/>
                <w:szCs w:val="24"/>
              </w:rPr>
              <w:t xml:space="preserve">Do not choose </w:t>
            </w:r>
            <w:r w:rsidRPr="56A9708A" w:rsidR="004A3749">
              <w:rPr>
                <w:rFonts w:eastAsia="" w:eastAsiaTheme="minorEastAsia"/>
                <w:sz w:val="24"/>
                <w:szCs w:val="24"/>
              </w:rPr>
              <w:t xml:space="preserve">training </w:t>
            </w:r>
            <w:r w:rsidRPr="56A9708A" w:rsidR="00D929C9">
              <w:rPr>
                <w:rFonts w:eastAsia="" w:eastAsiaTheme="minorEastAsia"/>
                <w:sz w:val="24"/>
                <w:szCs w:val="24"/>
              </w:rPr>
              <w:t xml:space="preserve">solely on the price. Choose based on how </w:t>
            </w:r>
            <w:r w:rsidRPr="56A9708A" w:rsidR="004A3749">
              <w:rPr>
                <w:rFonts w:eastAsia="" w:eastAsiaTheme="minorEastAsia"/>
                <w:sz w:val="24"/>
                <w:szCs w:val="24"/>
              </w:rPr>
              <w:t>much</w:t>
            </w:r>
            <w:r w:rsidRPr="56A9708A" w:rsidR="00D929C9">
              <w:rPr>
                <w:rFonts w:eastAsia="" w:eastAsiaTheme="minorEastAsia"/>
                <w:sz w:val="24"/>
                <w:szCs w:val="24"/>
              </w:rPr>
              <w:t xml:space="preserve"> </w:t>
            </w:r>
            <w:r w:rsidRPr="56A9708A" w:rsidR="63FC9628">
              <w:rPr>
                <w:rFonts w:eastAsia="" w:eastAsiaTheme="minorEastAsia"/>
                <w:sz w:val="24"/>
                <w:szCs w:val="24"/>
              </w:rPr>
              <w:t xml:space="preserve">completing the </w:t>
            </w:r>
            <w:r w:rsidRPr="56A9708A" w:rsidR="00D929C9">
              <w:rPr>
                <w:rFonts w:eastAsia="" w:eastAsiaTheme="minorEastAsia"/>
                <w:sz w:val="24"/>
                <w:szCs w:val="24"/>
              </w:rPr>
              <w:t xml:space="preserve">training </w:t>
            </w:r>
            <w:r w:rsidRPr="56A9708A" w:rsidR="004A3749">
              <w:rPr>
                <w:rFonts w:eastAsia="" w:eastAsiaTheme="minorEastAsia"/>
                <w:sz w:val="24"/>
                <w:szCs w:val="24"/>
              </w:rPr>
              <w:t xml:space="preserve">is likely to </w:t>
            </w:r>
            <w:r w:rsidRPr="56A9708A" w:rsidR="00D929C9">
              <w:rPr>
                <w:rFonts w:eastAsia="" w:eastAsiaTheme="minorEastAsia"/>
                <w:sz w:val="24"/>
                <w:szCs w:val="24"/>
              </w:rPr>
              <w:t xml:space="preserve">improve your career outcomes. </w:t>
            </w:r>
          </w:p>
        </w:tc>
        <w:tc>
          <w:tcPr>
            <w:tcW w:w="1440" w:type="dxa"/>
            <w:tcBorders>
              <w:top w:val="dotted" w:color="FFFFFF" w:themeColor="background1" w:sz="12" w:space="0"/>
              <w:bottom w:val="dotted" w:color="FFFFFF" w:themeColor="background1" w:sz="12" w:space="0"/>
            </w:tcBorders>
            <w:tcMar/>
            <w:vAlign w:val="center"/>
          </w:tcPr>
          <w:p w:rsidRPr="00D929C9" w:rsidR="7182F191" w:rsidP="00D929C9" w:rsidRDefault="00D929C9" w14:paraId="7D164DCC" w14:textId="656918A7">
            <w:pPr>
              <w:rPr>
                <w:rFonts w:eastAsiaTheme="minorEastAsia"/>
                <w:sz w:val="24"/>
                <w:szCs w:val="24"/>
              </w:rPr>
            </w:pPr>
            <w:r>
              <w:rPr>
                <w:rFonts w:eastAsiaTheme="minorEastAsia"/>
                <w:sz w:val="24"/>
                <w:szCs w:val="24"/>
              </w:rPr>
              <w:t>$27,892</w:t>
            </w:r>
          </w:p>
        </w:tc>
      </w:tr>
      <w:tr w:rsidR="7182F191" w:rsidTr="56A9708A" w14:paraId="38AD832A" w14:textId="77777777">
        <w:trPr>
          <w:trHeight w:val="390"/>
        </w:trPr>
        <w:tc>
          <w:tcPr>
            <w:tcW w:w="2340" w:type="dxa"/>
            <w:tcBorders>
              <w:top w:val="dotted" w:color="FFFFFF" w:themeColor="background1" w:sz="12" w:space="0"/>
              <w:bottom w:val="dotted" w:color="FFFFFF" w:themeColor="background1" w:sz="12" w:space="0"/>
            </w:tcBorders>
            <w:shd w:val="clear" w:color="auto" w:fill="D1D1D1"/>
            <w:tcMar/>
            <w:vAlign w:val="center"/>
          </w:tcPr>
          <w:p w:rsidRPr="00D929C9" w:rsidR="7182F191" w:rsidP="00D929C9" w:rsidRDefault="00D929C9" w14:paraId="4B903D46" w14:textId="3C2B099F">
            <w:pPr>
              <w:rPr>
                <w:rFonts w:eastAsiaTheme="minorEastAsia"/>
                <w:b/>
                <w:bCs/>
                <w:sz w:val="24"/>
                <w:szCs w:val="24"/>
              </w:rPr>
            </w:pPr>
            <w:r>
              <w:rPr>
                <w:rFonts w:eastAsiaTheme="minorEastAsia"/>
                <w:b/>
                <w:bCs/>
                <w:sz w:val="24"/>
                <w:szCs w:val="24"/>
              </w:rPr>
              <w:t>Median Total Debt After Graduation</w:t>
            </w:r>
          </w:p>
        </w:tc>
        <w:tc>
          <w:tcPr>
            <w:tcW w:w="3510" w:type="dxa"/>
            <w:tcBorders>
              <w:top w:val="dotted" w:color="FFFFFF" w:themeColor="background1" w:sz="12" w:space="0"/>
              <w:bottom w:val="dotted" w:color="FFFFFF" w:themeColor="background1" w:sz="12" w:space="0"/>
            </w:tcBorders>
            <w:shd w:val="clear" w:color="auto" w:fill="D1D1D1"/>
            <w:tcMar/>
            <w:vAlign w:val="center"/>
          </w:tcPr>
          <w:p w:rsidRPr="00D743C6" w:rsidR="7182F191" w:rsidP="00D743C6" w:rsidRDefault="00D743C6" w14:paraId="58008664" w14:textId="28DADA49">
            <w:pPr>
              <w:rPr>
                <w:rFonts w:eastAsiaTheme="minorEastAsia"/>
                <w:bCs/>
                <w:sz w:val="24"/>
                <w:szCs w:val="24"/>
              </w:rPr>
            </w:pPr>
            <w:r w:rsidRPr="00D743C6">
              <w:rPr>
                <w:rFonts w:eastAsiaTheme="minorEastAsia"/>
                <w:bCs/>
                <w:sz w:val="24"/>
                <w:szCs w:val="24"/>
              </w:rPr>
              <w:t>How much money the average student owes the Federal government after attending.</w:t>
            </w:r>
          </w:p>
        </w:tc>
        <w:tc>
          <w:tcPr>
            <w:tcW w:w="3510" w:type="dxa"/>
            <w:tcBorders>
              <w:top w:val="dotted" w:color="FFFFFF" w:themeColor="background1" w:sz="12" w:space="0"/>
              <w:bottom w:val="dotted" w:color="FFFFFF" w:themeColor="background1" w:sz="12" w:space="0"/>
            </w:tcBorders>
            <w:shd w:val="clear" w:color="auto" w:fill="D1D1D1"/>
            <w:tcMar/>
            <w:vAlign w:val="center"/>
          </w:tcPr>
          <w:p w:rsidRPr="00D743C6" w:rsidR="7182F191" w:rsidP="00D743C6" w:rsidRDefault="00D743C6" w14:paraId="3BBCAC76" w14:textId="0993CE96">
            <w:pPr>
              <w:rPr>
                <w:rFonts w:eastAsiaTheme="minorEastAsia"/>
                <w:bCs/>
                <w:sz w:val="24"/>
                <w:szCs w:val="24"/>
              </w:rPr>
            </w:pPr>
            <w:r>
              <w:rPr>
                <w:rFonts w:eastAsiaTheme="minorEastAsia"/>
                <w:bCs/>
                <w:sz w:val="24"/>
                <w:szCs w:val="24"/>
              </w:rPr>
              <w:t>Once you are done with school, this is how much money you may owe in loans.</w:t>
            </w:r>
          </w:p>
        </w:tc>
        <w:tc>
          <w:tcPr>
            <w:tcW w:w="1440" w:type="dxa"/>
            <w:tcBorders>
              <w:top w:val="dotted" w:color="FFFFFF" w:themeColor="background1" w:sz="12" w:space="0"/>
              <w:bottom w:val="dotted" w:color="FFFFFF" w:themeColor="background1" w:sz="12" w:space="0"/>
            </w:tcBorders>
            <w:shd w:val="clear" w:color="auto" w:fill="D1D1D1"/>
            <w:tcMar/>
            <w:vAlign w:val="center"/>
          </w:tcPr>
          <w:p w:rsidRPr="00D743C6" w:rsidR="7182F191" w:rsidP="00D929C9" w:rsidRDefault="00D743C6" w14:paraId="30DCB549" w14:textId="245A3C44">
            <w:pPr>
              <w:rPr>
                <w:rFonts w:eastAsiaTheme="minorEastAsia"/>
                <w:bCs/>
                <w:sz w:val="24"/>
                <w:szCs w:val="24"/>
              </w:rPr>
            </w:pPr>
            <w:r w:rsidRPr="00D743C6">
              <w:rPr>
                <w:rFonts w:eastAsiaTheme="minorEastAsia"/>
                <w:bCs/>
                <w:sz w:val="24"/>
                <w:szCs w:val="24"/>
              </w:rPr>
              <w:t>$18,635</w:t>
            </w:r>
          </w:p>
        </w:tc>
      </w:tr>
      <w:tr w:rsidR="00D929C9" w:rsidTr="56A9708A" w14:paraId="514B4AFD" w14:textId="77777777">
        <w:trPr>
          <w:trHeight w:val="390"/>
        </w:trPr>
        <w:tc>
          <w:tcPr>
            <w:tcW w:w="2340" w:type="dxa"/>
            <w:tcBorders>
              <w:top w:val="dotted" w:color="FFFFFF" w:themeColor="background1" w:sz="12" w:space="0"/>
              <w:bottom w:val="dotted" w:color="FFFFFF" w:themeColor="background1" w:sz="12" w:space="0"/>
            </w:tcBorders>
            <w:shd w:val="clear" w:color="auto" w:fill="auto"/>
            <w:tcMar/>
            <w:vAlign w:val="center"/>
          </w:tcPr>
          <w:p w:rsidRPr="00D929C9" w:rsidR="00D929C9" w:rsidP="00D929C9" w:rsidRDefault="00D929C9" w14:paraId="017E6007" w14:textId="7B1BF24B">
            <w:pPr>
              <w:rPr>
                <w:rFonts w:eastAsiaTheme="minorEastAsia"/>
                <w:b/>
                <w:bCs/>
                <w:sz w:val="24"/>
                <w:szCs w:val="24"/>
              </w:rPr>
            </w:pPr>
            <w:r w:rsidRPr="00D929C9">
              <w:rPr>
                <w:rFonts w:eastAsiaTheme="minorEastAsia"/>
                <w:b/>
                <w:bCs/>
                <w:sz w:val="24"/>
                <w:szCs w:val="24"/>
              </w:rPr>
              <w:t>Graduation Rate</w:t>
            </w:r>
          </w:p>
        </w:tc>
        <w:tc>
          <w:tcPr>
            <w:tcW w:w="351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743C6" w:rsidRDefault="00D743C6" w14:paraId="68368C76" w14:textId="3B3F520B">
            <w:pPr>
              <w:rPr>
                <w:rFonts w:eastAsiaTheme="minorEastAsia"/>
                <w:bCs/>
                <w:sz w:val="24"/>
                <w:szCs w:val="24"/>
              </w:rPr>
            </w:pPr>
            <w:r w:rsidRPr="00D743C6">
              <w:rPr>
                <w:rFonts w:eastAsiaTheme="minorEastAsia"/>
                <w:bCs/>
                <w:sz w:val="24"/>
                <w:szCs w:val="24"/>
              </w:rPr>
              <w:t>The percent of students that start a program that will finish the program. </w:t>
            </w:r>
          </w:p>
        </w:tc>
        <w:tc>
          <w:tcPr>
            <w:tcW w:w="351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743C6" w:rsidRDefault="00D743C6" w14:paraId="0FB7733F" w14:textId="1DB7F76D">
            <w:pPr>
              <w:rPr>
                <w:rFonts w:eastAsiaTheme="minorEastAsia"/>
                <w:bCs/>
                <w:sz w:val="24"/>
                <w:szCs w:val="24"/>
              </w:rPr>
            </w:pPr>
            <w:r>
              <w:rPr>
                <w:rFonts w:eastAsiaTheme="minorEastAsia"/>
                <w:bCs/>
                <w:sz w:val="24"/>
                <w:szCs w:val="24"/>
              </w:rPr>
              <w:t>Graduation rate can be a measure of student satisfaction and support.</w:t>
            </w:r>
          </w:p>
        </w:tc>
        <w:tc>
          <w:tcPr>
            <w:tcW w:w="144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929C9" w:rsidRDefault="00D743C6" w14:paraId="0BCCF7CE" w14:textId="76F92F25">
            <w:pPr>
              <w:rPr>
                <w:rFonts w:eastAsiaTheme="minorEastAsia"/>
                <w:bCs/>
                <w:sz w:val="24"/>
                <w:szCs w:val="24"/>
              </w:rPr>
            </w:pPr>
            <w:r w:rsidRPr="00D743C6">
              <w:rPr>
                <w:rFonts w:eastAsiaTheme="minorEastAsia"/>
                <w:bCs/>
                <w:sz w:val="24"/>
                <w:szCs w:val="24"/>
              </w:rPr>
              <w:t>56%</w:t>
            </w:r>
          </w:p>
        </w:tc>
      </w:tr>
      <w:tr w:rsidR="00D929C9" w:rsidTr="56A9708A" w14:paraId="6085715F" w14:textId="77777777">
        <w:trPr>
          <w:trHeight w:val="390"/>
        </w:trPr>
        <w:tc>
          <w:tcPr>
            <w:tcW w:w="2340" w:type="dxa"/>
            <w:tcBorders>
              <w:top w:val="dotted" w:color="FFFFFF" w:themeColor="background1" w:sz="12" w:space="0"/>
              <w:bottom w:val="dotted" w:color="FFFFFF" w:themeColor="background1" w:sz="12" w:space="0"/>
            </w:tcBorders>
            <w:shd w:val="clear" w:color="auto" w:fill="D1D1D1"/>
            <w:tcMar/>
            <w:vAlign w:val="center"/>
          </w:tcPr>
          <w:p w:rsidRPr="00D929C9" w:rsidR="00D929C9" w:rsidP="00D929C9" w:rsidRDefault="00D929C9" w14:paraId="5F645629" w14:textId="136F20B1">
            <w:pPr>
              <w:rPr>
                <w:rFonts w:eastAsiaTheme="minorEastAsia"/>
                <w:b/>
                <w:bCs/>
                <w:sz w:val="24"/>
                <w:szCs w:val="24"/>
              </w:rPr>
            </w:pPr>
            <w:r w:rsidRPr="00D929C9">
              <w:rPr>
                <w:rFonts w:eastAsiaTheme="minorEastAsia"/>
                <w:b/>
                <w:bCs/>
                <w:sz w:val="24"/>
                <w:szCs w:val="24"/>
              </w:rPr>
              <w:t>Median Earnings</w:t>
            </w:r>
          </w:p>
        </w:tc>
        <w:tc>
          <w:tcPr>
            <w:tcW w:w="3510" w:type="dxa"/>
            <w:tcBorders>
              <w:top w:val="dotted" w:color="FFFFFF" w:themeColor="background1" w:sz="12" w:space="0"/>
              <w:bottom w:val="dotted" w:color="FFFFFF" w:themeColor="background1" w:sz="12" w:space="0"/>
            </w:tcBorders>
            <w:shd w:val="clear" w:color="auto" w:fill="D1D1D1"/>
            <w:tcMar/>
            <w:vAlign w:val="center"/>
          </w:tcPr>
          <w:p w:rsidRPr="00D743C6" w:rsidR="00D929C9" w:rsidP="00D743C6" w:rsidRDefault="00D743C6" w14:paraId="274A44E7" w14:textId="2CCC2492">
            <w:pPr>
              <w:rPr>
                <w:rFonts w:eastAsiaTheme="minorEastAsia"/>
                <w:bCs/>
                <w:sz w:val="24"/>
                <w:szCs w:val="24"/>
              </w:rPr>
            </w:pPr>
            <w:r>
              <w:rPr>
                <w:rFonts w:eastAsiaTheme="minorEastAsia"/>
                <w:bCs/>
                <w:sz w:val="24"/>
                <w:szCs w:val="24"/>
              </w:rPr>
              <w:t>What most people earn yearly after graduating.</w:t>
            </w:r>
          </w:p>
        </w:tc>
        <w:tc>
          <w:tcPr>
            <w:tcW w:w="3510" w:type="dxa"/>
            <w:tcBorders>
              <w:top w:val="dotted" w:color="FFFFFF" w:themeColor="background1" w:sz="12" w:space="0"/>
              <w:bottom w:val="dotted" w:color="FFFFFF" w:themeColor="background1" w:sz="12" w:space="0"/>
            </w:tcBorders>
            <w:shd w:val="clear" w:color="auto" w:fill="D1D1D1"/>
            <w:tcMar/>
            <w:vAlign w:val="center"/>
          </w:tcPr>
          <w:p w:rsidRPr="00D743C6" w:rsidR="00D929C9" w:rsidP="006F5D6D" w:rsidRDefault="004A3749" w14:paraId="67421BDF" w14:textId="7CEEE9FF">
            <w:pPr>
              <w:rPr>
                <w:rFonts w:eastAsiaTheme="minorEastAsia"/>
                <w:bCs/>
                <w:sz w:val="24"/>
                <w:szCs w:val="24"/>
              </w:rPr>
            </w:pPr>
            <w:r>
              <w:rPr>
                <w:rFonts w:eastAsiaTheme="minorEastAsia"/>
                <w:bCs/>
                <w:sz w:val="24"/>
                <w:szCs w:val="24"/>
              </w:rPr>
              <w:t>Some postsecondary training providers do a better job of building your skills, connecting you with people that can help you get a</w:t>
            </w:r>
            <w:r w:rsidR="006F5D6D">
              <w:rPr>
                <w:rFonts w:eastAsiaTheme="minorEastAsia"/>
                <w:bCs/>
                <w:sz w:val="24"/>
                <w:szCs w:val="24"/>
              </w:rPr>
              <w:t xml:space="preserve"> job, and providing</w:t>
            </w:r>
            <w:r>
              <w:rPr>
                <w:rFonts w:eastAsiaTheme="minorEastAsia"/>
                <w:bCs/>
                <w:sz w:val="24"/>
                <w:szCs w:val="24"/>
              </w:rPr>
              <w:t xml:space="preserve"> credentials </w:t>
            </w:r>
            <w:r w:rsidR="006F5D6D">
              <w:rPr>
                <w:rFonts w:eastAsiaTheme="minorEastAsia"/>
                <w:bCs/>
                <w:sz w:val="24"/>
                <w:szCs w:val="24"/>
              </w:rPr>
              <w:t>that are</w:t>
            </w:r>
            <w:r>
              <w:rPr>
                <w:rFonts w:eastAsiaTheme="minorEastAsia"/>
                <w:bCs/>
                <w:sz w:val="24"/>
                <w:szCs w:val="24"/>
              </w:rPr>
              <w:t xml:space="preserve"> sought after by industry.  </w:t>
            </w:r>
          </w:p>
        </w:tc>
        <w:tc>
          <w:tcPr>
            <w:tcW w:w="1440" w:type="dxa"/>
            <w:tcBorders>
              <w:top w:val="dotted" w:color="FFFFFF" w:themeColor="background1" w:sz="12" w:space="0"/>
              <w:bottom w:val="dotted" w:color="FFFFFF" w:themeColor="background1" w:sz="12" w:space="0"/>
            </w:tcBorders>
            <w:shd w:val="clear" w:color="auto" w:fill="D1D1D1"/>
            <w:tcMar/>
            <w:vAlign w:val="center"/>
          </w:tcPr>
          <w:p w:rsidRPr="00D743C6" w:rsidR="00D929C9" w:rsidP="00D929C9" w:rsidRDefault="004A3749" w14:paraId="6E341E90" w14:textId="7AF47C89">
            <w:pPr>
              <w:rPr>
                <w:rFonts w:eastAsiaTheme="minorEastAsia"/>
                <w:bCs/>
                <w:sz w:val="24"/>
                <w:szCs w:val="24"/>
              </w:rPr>
            </w:pPr>
            <w:r>
              <w:rPr>
                <w:rFonts w:eastAsiaTheme="minorEastAsia"/>
                <w:bCs/>
                <w:sz w:val="24"/>
                <w:szCs w:val="24"/>
              </w:rPr>
              <w:t>$53,449</w:t>
            </w:r>
          </w:p>
        </w:tc>
      </w:tr>
      <w:tr w:rsidR="00D929C9" w:rsidTr="56A9708A" w14:paraId="73D3BB04" w14:textId="77777777">
        <w:trPr>
          <w:trHeight w:val="390"/>
        </w:trPr>
        <w:tc>
          <w:tcPr>
            <w:tcW w:w="2340" w:type="dxa"/>
            <w:tcBorders>
              <w:top w:val="dotted" w:color="FFFFFF" w:themeColor="background1" w:sz="12" w:space="0"/>
              <w:bottom w:val="dotted" w:color="FFFFFF" w:themeColor="background1" w:sz="12" w:space="0"/>
            </w:tcBorders>
            <w:shd w:val="clear" w:color="auto" w:fill="auto"/>
            <w:tcMar/>
            <w:vAlign w:val="center"/>
          </w:tcPr>
          <w:p w:rsidRPr="00D929C9" w:rsidR="00D929C9" w:rsidP="00D929C9" w:rsidRDefault="00D929C9" w14:paraId="7ABFF90A" w14:textId="0DF50072">
            <w:pPr>
              <w:rPr>
                <w:rFonts w:eastAsiaTheme="minorEastAsia"/>
                <w:b/>
                <w:bCs/>
                <w:sz w:val="24"/>
                <w:szCs w:val="24"/>
              </w:rPr>
            </w:pPr>
            <w:r w:rsidRPr="00D929C9">
              <w:rPr>
                <w:rFonts w:eastAsiaTheme="minorEastAsia"/>
                <w:b/>
                <w:bCs/>
                <w:sz w:val="24"/>
                <w:szCs w:val="24"/>
              </w:rPr>
              <w:t>Enrollment</w:t>
            </w:r>
          </w:p>
        </w:tc>
        <w:tc>
          <w:tcPr>
            <w:tcW w:w="351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743C6" w:rsidRDefault="006F5D6D" w14:paraId="31C1FFA0" w14:textId="74AEBDDA">
            <w:pPr>
              <w:rPr>
                <w:rFonts w:eastAsiaTheme="minorEastAsia"/>
                <w:bCs/>
                <w:sz w:val="24"/>
                <w:szCs w:val="24"/>
              </w:rPr>
            </w:pPr>
            <w:r>
              <w:rPr>
                <w:rFonts w:eastAsiaTheme="minorEastAsia"/>
                <w:bCs/>
                <w:sz w:val="24"/>
                <w:szCs w:val="24"/>
              </w:rPr>
              <w:t>The number of students that attend the school.</w:t>
            </w:r>
          </w:p>
        </w:tc>
        <w:tc>
          <w:tcPr>
            <w:tcW w:w="351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743C6" w:rsidRDefault="006F5D6D" w14:paraId="7A7874DD" w14:textId="00C0A083">
            <w:pPr>
              <w:rPr>
                <w:rFonts w:eastAsiaTheme="minorEastAsia"/>
                <w:bCs/>
                <w:sz w:val="24"/>
                <w:szCs w:val="24"/>
              </w:rPr>
            </w:pPr>
            <w:r>
              <w:rPr>
                <w:rFonts w:eastAsiaTheme="minorEastAsia"/>
                <w:bCs/>
                <w:sz w:val="24"/>
                <w:szCs w:val="24"/>
              </w:rPr>
              <w:t>Large schools can sometimes have a wider variety of opportunities. Smaller schools can sometimes have a greater sense of community.</w:t>
            </w:r>
          </w:p>
        </w:tc>
        <w:tc>
          <w:tcPr>
            <w:tcW w:w="1440" w:type="dxa"/>
            <w:tcBorders>
              <w:top w:val="dotted" w:color="FFFFFF" w:themeColor="background1" w:sz="12" w:space="0"/>
              <w:bottom w:val="dotted" w:color="FFFFFF" w:themeColor="background1" w:sz="12" w:space="0"/>
            </w:tcBorders>
            <w:shd w:val="clear" w:color="auto" w:fill="auto"/>
            <w:tcMar/>
            <w:vAlign w:val="center"/>
          </w:tcPr>
          <w:p w:rsidRPr="00D743C6" w:rsidR="00D929C9" w:rsidP="00D929C9" w:rsidRDefault="006F5D6D" w14:paraId="7A283705" w14:textId="7BFD94FD">
            <w:pPr>
              <w:rPr>
                <w:rFonts w:eastAsiaTheme="minorEastAsia"/>
                <w:bCs/>
                <w:sz w:val="24"/>
                <w:szCs w:val="24"/>
              </w:rPr>
            </w:pPr>
            <w:r>
              <w:rPr>
                <w:rFonts w:eastAsiaTheme="minorEastAsia"/>
                <w:bCs/>
                <w:sz w:val="24"/>
                <w:szCs w:val="24"/>
              </w:rPr>
              <w:t>7,072</w:t>
            </w:r>
          </w:p>
        </w:tc>
      </w:tr>
      <w:tr w:rsidR="00D929C9" w:rsidTr="56A9708A" w14:paraId="4621A46D" w14:textId="77777777">
        <w:trPr>
          <w:trHeight w:val="390"/>
        </w:trPr>
        <w:tc>
          <w:tcPr>
            <w:tcW w:w="2340" w:type="dxa"/>
            <w:tcBorders>
              <w:top w:val="dotted" w:color="FFFFFF" w:themeColor="background1" w:sz="12" w:space="0"/>
            </w:tcBorders>
            <w:shd w:val="clear" w:color="auto" w:fill="D1D1D1"/>
            <w:tcMar/>
            <w:vAlign w:val="center"/>
          </w:tcPr>
          <w:p w:rsidRPr="00D929C9" w:rsidR="00D929C9" w:rsidP="00D929C9" w:rsidRDefault="00D929C9" w14:paraId="4C59B23A" w14:textId="7755703D">
            <w:pPr>
              <w:rPr>
                <w:rFonts w:eastAsiaTheme="minorEastAsia"/>
                <w:b/>
                <w:bCs/>
                <w:sz w:val="24"/>
                <w:szCs w:val="24"/>
              </w:rPr>
            </w:pPr>
            <w:r w:rsidRPr="00D929C9">
              <w:rPr>
                <w:rFonts w:eastAsiaTheme="minorEastAsia"/>
                <w:b/>
                <w:bCs/>
                <w:sz w:val="24"/>
                <w:szCs w:val="24"/>
              </w:rPr>
              <w:t>Acceptance Rate</w:t>
            </w:r>
          </w:p>
        </w:tc>
        <w:tc>
          <w:tcPr>
            <w:tcW w:w="3510" w:type="dxa"/>
            <w:tcBorders>
              <w:top w:val="dotted" w:color="FFFFFF" w:themeColor="background1" w:sz="12" w:space="0"/>
            </w:tcBorders>
            <w:shd w:val="clear" w:color="auto" w:fill="D1D1D1"/>
            <w:tcMar/>
            <w:vAlign w:val="center"/>
          </w:tcPr>
          <w:p w:rsidRPr="00D743C6" w:rsidR="00D929C9" w:rsidP="00D743C6" w:rsidRDefault="006F5D6D" w14:paraId="28172C25" w14:textId="2D658BE7">
            <w:pPr>
              <w:rPr>
                <w:rFonts w:eastAsiaTheme="minorEastAsia"/>
                <w:bCs/>
                <w:sz w:val="24"/>
                <w:szCs w:val="24"/>
              </w:rPr>
            </w:pPr>
            <w:r>
              <w:rPr>
                <w:rFonts w:eastAsiaTheme="minorEastAsia"/>
                <w:bCs/>
                <w:sz w:val="24"/>
                <w:szCs w:val="24"/>
              </w:rPr>
              <w:t>The percent of students that apply to attend that are accepted into a program.</w:t>
            </w:r>
          </w:p>
        </w:tc>
        <w:tc>
          <w:tcPr>
            <w:tcW w:w="3510" w:type="dxa"/>
            <w:tcBorders>
              <w:top w:val="dotted" w:color="FFFFFF" w:themeColor="background1" w:sz="12" w:space="0"/>
            </w:tcBorders>
            <w:shd w:val="clear" w:color="auto" w:fill="D1D1D1"/>
            <w:tcMar/>
            <w:vAlign w:val="center"/>
          </w:tcPr>
          <w:p w:rsidRPr="00D743C6" w:rsidR="00D929C9" w:rsidP="00D743C6" w:rsidRDefault="006F5D6D" w14:paraId="1C054F73" w14:textId="458C6DFC">
            <w:pPr>
              <w:rPr>
                <w:rFonts w:eastAsiaTheme="minorEastAsia"/>
                <w:bCs/>
                <w:sz w:val="24"/>
                <w:szCs w:val="24"/>
              </w:rPr>
            </w:pPr>
            <w:r>
              <w:rPr>
                <w:rFonts w:eastAsiaTheme="minorEastAsia"/>
                <w:bCs/>
                <w:sz w:val="24"/>
                <w:szCs w:val="24"/>
              </w:rPr>
              <w:t>This can measure how hard it is to get into a training program.</w:t>
            </w:r>
          </w:p>
        </w:tc>
        <w:tc>
          <w:tcPr>
            <w:tcW w:w="1440" w:type="dxa"/>
            <w:tcBorders>
              <w:top w:val="dotted" w:color="FFFFFF" w:themeColor="background1" w:sz="12" w:space="0"/>
            </w:tcBorders>
            <w:shd w:val="clear" w:color="auto" w:fill="D1D1D1"/>
            <w:tcMar/>
            <w:vAlign w:val="center"/>
          </w:tcPr>
          <w:p w:rsidRPr="00D743C6" w:rsidR="00D929C9" w:rsidP="00D929C9" w:rsidRDefault="006F5D6D" w14:paraId="12C5B79C" w14:textId="44C52D07">
            <w:pPr>
              <w:rPr>
                <w:rFonts w:eastAsiaTheme="minorEastAsia"/>
                <w:bCs/>
                <w:sz w:val="24"/>
                <w:szCs w:val="24"/>
              </w:rPr>
            </w:pPr>
            <w:r>
              <w:rPr>
                <w:rFonts w:eastAsiaTheme="minorEastAsia"/>
                <w:bCs/>
                <w:sz w:val="24"/>
                <w:szCs w:val="24"/>
              </w:rPr>
              <w:t>33%</w:t>
            </w:r>
          </w:p>
        </w:tc>
      </w:tr>
    </w:tbl>
    <w:p w:rsidR="7182F191" w:rsidP="7182F191" w:rsidRDefault="7182F191" w14:paraId="59866288" w14:textId="5C6B5860">
      <w:pPr>
        <w:spacing w:after="0"/>
        <w:rPr>
          <w:b/>
          <w:bCs/>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46BF4831">
            <w:pPr>
              <w:jc w:val="center"/>
            </w:pPr>
            <w:r w:rsidRPr="00BF5F1A">
              <w:rPr>
                <w:b/>
                <w:sz w:val="36"/>
              </w:rPr>
              <w:t>Do</w:t>
            </w:r>
          </w:p>
        </w:tc>
      </w:tr>
    </w:tbl>
    <w:p w:rsidR="0030460E" w:rsidP="0030460E" w:rsidRDefault="0030460E" w14:paraId="4FD89EFD" w14:textId="382974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Compare Postsecondary Training Data</w:t>
      </w:r>
      <w:r>
        <w:rPr>
          <w:rStyle w:val="eop"/>
          <w:rFonts w:ascii="Calibri" w:hAnsi="Calibri" w:cs="Calibri"/>
          <w:sz w:val="22"/>
          <w:szCs w:val="22"/>
        </w:rPr>
        <w:t> </w:t>
      </w:r>
    </w:p>
    <w:p w:rsidR="0030460E" w:rsidP="56A9708A" w:rsidRDefault="0030460E" w14:paraId="445842C6" w14:textId="1C26A647">
      <w:pPr>
        <w:pStyle w:val="paragraph"/>
        <w:numPr>
          <w:ilvl w:val="0"/>
          <w:numId w:val="11"/>
        </w:numPr>
        <w:spacing w:before="0" w:beforeAutospacing="off" w:after="0" w:afterAutospacing="off"/>
        <w:ind w:left="360" w:firstLine="0"/>
        <w:textAlignment w:val="baseline"/>
        <w:rPr>
          <w:rFonts w:ascii="Calibri" w:hAnsi="Calibri" w:cs="Calibri"/>
          <w:sz w:val="22"/>
          <w:szCs w:val="22"/>
        </w:rPr>
      </w:pPr>
      <w:r w:rsidRPr="56A9708A" w:rsidR="0030460E">
        <w:rPr>
          <w:rStyle w:val="normaltextrun"/>
          <w:rFonts w:ascii="Calibri" w:hAnsi="Calibri" w:cs="Calibri"/>
          <w:sz w:val="22"/>
          <w:szCs w:val="22"/>
        </w:rPr>
        <w:t xml:space="preserve">Go to the U.S. Dept. Of Education’s College Scorecard website: </w:t>
      </w:r>
      <w:hyperlink r:id="Rb1461988ae8e4be4">
        <w:r w:rsidRPr="56A9708A" w:rsidR="0030460E">
          <w:rPr>
            <w:rStyle w:val="normaltextrun"/>
            <w:rFonts w:ascii="Calibri" w:hAnsi="Calibri" w:cs="Calibri"/>
            <w:color w:val="0563C1"/>
            <w:sz w:val="22"/>
            <w:szCs w:val="22"/>
            <w:u w:val="single"/>
          </w:rPr>
          <w:t>https://collegescorecard.ed.gov/</w:t>
        </w:r>
      </w:hyperlink>
      <w:r w:rsidRPr="56A9708A" w:rsidR="1FF97ED7">
        <w:rPr>
          <w:rStyle w:val="eop"/>
          <w:rFonts w:ascii="Calibri" w:hAnsi="Calibri" w:cs="Calibri"/>
          <w:sz w:val="22"/>
          <w:szCs w:val="22"/>
        </w:rPr>
        <w:t>.</w:t>
      </w:r>
    </w:p>
    <w:p w:rsidR="0030460E" w:rsidP="0030460E" w:rsidRDefault="0030460E" w14:paraId="0906913B" w14:textId="24DDF30F">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Click on ‘Show Me Options’ on the right-hand side.</w:t>
      </w:r>
      <w:r>
        <w:rPr>
          <w:rStyle w:val="eop"/>
          <w:rFonts w:ascii="Calibri" w:hAnsi="Calibri" w:cs="Calibri"/>
          <w:sz w:val="22"/>
          <w:szCs w:val="22"/>
        </w:rPr>
        <w:t> </w:t>
      </w:r>
    </w:p>
    <w:p w:rsidR="0030460E" w:rsidP="0030460E" w:rsidRDefault="0030460E" w14:paraId="5BFE3C1B" w14:textId="399DEB48">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Then, select ‘Schools Near Me’ and click on ‘Find Schools.’</w:t>
      </w:r>
      <w:r>
        <w:rPr>
          <w:rStyle w:val="eop"/>
          <w:rFonts w:ascii="Calibri" w:hAnsi="Calibri" w:cs="Calibri"/>
          <w:sz w:val="22"/>
          <w:szCs w:val="22"/>
        </w:rPr>
        <w:t> </w:t>
      </w:r>
    </w:p>
    <w:p w:rsidR="0030460E" w:rsidP="0030460E" w:rsidRDefault="0030460E" w14:paraId="4354B013" w14:textId="1F5DC27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Then, use the filters on the left-hand side to narrow the displayed schools to just those that you are interested in.</w:t>
      </w:r>
      <w:r>
        <w:rPr>
          <w:rStyle w:val="eop"/>
          <w:rFonts w:ascii="Calibri" w:hAnsi="Calibri" w:cs="Calibri"/>
          <w:sz w:val="22"/>
          <w:szCs w:val="22"/>
        </w:rPr>
        <w:t> </w:t>
      </w:r>
    </w:p>
    <w:p w:rsidR="0030460E" w:rsidP="0030460E" w:rsidRDefault="0030460E" w14:paraId="22F3A1B2" w14:textId="06DC4F5E">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Click the checkbox in the upper right of the display box of three or more schools you are interested in comparing.</w:t>
      </w:r>
      <w:r>
        <w:rPr>
          <w:rStyle w:val="eop"/>
          <w:rFonts w:ascii="Calibri" w:hAnsi="Calibri" w:cs="Calibri"/>
          <w:sz w:val="22"/>
          <w:szCs w:val="22"/>
        </w:rPr>
        <w:t> </w:t>
      </w:r>
    </w:p>
    <w:p w:rsidR="0030460E" w:rsidP="0030460E" w:rsidRDefault="0030460E" w14:paraId="778EE681" w14:textId="38316EB6">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In the upper-right of the website, select ‘Compare Schools.’</w:t>
      </w:r>
      <w:r>
        <w:rPr>
          <w:rStyle w:val="eop"/>
          <w:rFonts w:ascii="Calibri" w:hAnsi="Calibri" w:cs="Calibri"/>
          <w:sz w:val="22"/>
          <w:szCs w:val="22"/>
        </w:rPr>
        <w:t> </w:t>
      </w:r>
    </w:p>
    <w:p w:rsidR="00C66C29" w:rsidP="00C66C29" w:rsidRDefault="00C66C29" w14:paraId="63803EB5" w14:textId="77777777">
      <w:pPr>
        <w:pStyle w:val="paragraph"/>
        <w:spacing w:before="0" w:beforeAutospacing="0" w:after="0" w:afterAutospacing="0"/>
        <w:textAlignment w:val="baseline"/>
        <w:rPr>
          <w:rFonts w:ascii="Calibri" w:hAnsi="Calibri" w:cs="Calibri"/>
          <w:sz w:val="22"/>
          <w:szCs w:val="22"/>
        </w:rPr>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540"/>
        <w:gridCol w:w="2520"/>
        <w:gridCol w:w="1890"/>
        <w:gridCol w:w="2600"/>
      </w:tblGrid>
      <w:tr w:rsidR="00BF5F1A" w:rsidTr="56A9708A" w14:paraId="15D74C66" w14:textId="77777777">
        <w:tc>
          <w:tcPr>
            <w:tcW w:w="10790" w:type="dxa"/>
            <w:gridSpan w:val="5"/>
            <w:tcBorders>
              <w:bottom w:val="dotted" w:color="FFFFFF" w:themeColor="background1" w:sz="12" w:space="0"/>
            </w:tcBorders>
            <w:shd w:val="clear" w:color="auto" w:fill="162662"/>
            <w:tcMar/>
          </w:tcPr>
          <w:p w:rsidR="00BF5F1A" w:rsidP="00BF5F1A" w:rsidRDefault="00BF5F1A" w14:paraId="0AD7DA1D" w14:textId="4537C153">
            <w:pPr>
              <w:jc w:val="center"/>
            </w:pPr>
            <w:r w:rsidRPr="00BF5F1A">
              <w:rPr>
                <w:b/>
                <w:sz w:val="36"/>
              </w:rPr>
              <w:t>Reflect</w:t>
            </w:r>
          </w:p>
        </w:tc>
      </w:tr>
      <w:tr w:rsidR="00C66C29" w:rsidTr="56A9708A" w14:paraId="4F2955FB" w14:textId="77777777">
        <w:trPr>
          <w:trHeight w:val="36"/>
        </w:trPr>
        <w:tc>
          <w:tcPr>
            <w:tcW w:w="10790" w:type="dxa"/>
            <w:gridSpan w:val="5"/>
            <w:tcBorders>
              <w:top w:val="dotted" w:color="FFFFFF" w:themeColor="background1" w:sz="12" w:space="0"/>
              <w:bottom w:val="single" w:color="auto" w:sz="4" w:space="0"/>
            </w:tcBorders>
            <w:shd w:val="clear" w:color="auto" w:fill="auto"/>
            <w:tcMar/>
            <w:vAlign w:val="center"/>
          </w:tcPr>
          <w:p w:rsidRPr="00C66C29" w:rsidR="00C66C29" w:rsidP="00E37540" w:rsidRDefault="00C66C29" w14:paraId="030AC4B7" w14:textId="3E2A4EF3">
            <w:pPr>
              <w:rPr>
                <w:b/>
              </w:rPr>
            </w:pPr>
            <w:r w:rsidRPr="00E37540">
              <w:t xml:space="preserve">For your top three choices in postsecondary training providers, fill in the below data chart based on data from the </w:t>
            </w:r>
            <w:hyperlink w:history="1" r:id="rId14">
              <w:r w:rsidRPr="00BA5310">
                <w:rPr>
                  <w:rStyle w:val="Hyperlink"/>
                </w:rPr>
                <w:t>U.S. Department of Education’s College Scorecard</w:t>
              </w:r>
            </w:hyperlink>
            <w:r w:rsidRPr="00E37540">
              <w:t xml:space="preserve"> or another </w:t>
            </w:r>
            <w:r w:rsidRPr="00E37540" w:rsidR="00E37540">
              <w:t>data source.</w:t>
            </w:r>
            <w:r w:rsidR="00E37540">
              <w:t xml:space="preserve">  Then, complete the reflection questions found beneath the data chart.</w:t>
            </w:r>
          </w:p>
        </w:tc>
      </w:tr>
      <w:tr w:rsidR="00C66C29" w:rsidTr="56A9708A" w14:paraId="494E50D8" w14:textId="77777777">
        <w:trPr>
          <w:trHeight w:val="36"/>
        </w:trPr>
        <w:tc>
          <w:tcPr>
            <w:tcW w:w="3780" w:type="dxa"/>
            <w:gridSpan w:val="2"/>
            <w:tcBorders>
              <w:top w:val="dotted" w:color="FFFFFF" w:themeColor="background1" w:sz="12" w:space="0"/>
              <w:bottom w:val="single" w:color="auto" w:sz="4" w:space="0"/>
            </w:tcBorders>
            <w:shd w:val="clear" w:color="auto" w:fill="162662"/>
            <w:tcMar/>
            <w:vAlign w:val="center"/>
          </w:tcPr>
          <w:p w:rsidRPr="00C66C29" w:rsidR="00C66C29" w:rsidP="00C66C29" w:rsidRDefault="00C66C29" w14:paraId="25D6EAF5" w14:textId="190BAAAA">
            <w:pPr>
              <w:jc w:val="center"/>
              <w:rPr>
                <w:b/>
              </w:rPr>
            </w:pPr>
            <w:r w:rsidRPr="00C66C29">
              <w:rPr>
                <w:b/>
              </w:rPr>
              <w:t>Training Provider</w:t>
            </w:r>
          </w:p>
        </w:tc>
        <w:tc>
          <w:tcPr>
            <w:tcW w:w="2520" w:type="dxa"/>
            <w:tcBorders>
              <w:bottom w:val="single" w:color="auto" w:sz="4" w:space="0"/>
            </w:tcBorders>
            <w:shd w:val="clear" w:color="auto" w:fill="162662"/>
            <w:tcMar/>
            <w:vAlign w:val="center"/>
          </w:tcPr>
          <w:p w:rsidRPr="00C66C29" w:rsidR="00C66C29" w:rsidP="00C66C29" w:rsidRDefault="00C66C29" w14:paraId="00D3A2A8" w14:textId="29F4AC29">
            <w:pPr>
              <w:jc w:val="center"/>
              <w:rPr>
                <w:b/>
              </w:rPr>
            </w:pPr>
            <w:r w:rsidRPr="00C66C29">
              <w:rPr>
                <w:b/>
              </w:rPr>
              <w:t>Average Annual Cost</w:t>
            </w:r>
          </w:p>
        </w:tc>
        <w:tc>
          <w:tcPr>
            <w:tcW w:w="1890" w:type="dxa"/>
            <w:tcBorders>
              <w:bottom w:val="single" w:color="auto" w:sz="4" w:space="0"/>
            </w:tcBorders>
            <w:shd w:val="clear" w:color="auto" w:fill="162662"/>
            <w:tcMar/>
            <w:vAlign w:val="center"/>
          </w:tcPr>
          <w:p w:rsidRPr="00C66C29" w:rsidR="00C66C29" w:rsidP="00C66C29" w:rsidRDefault="00C66C29" w14:paraId="5213B26A" w14:textId="548A9F75">
            <w:pPr>
              <w:jc w:val="center"/>
              <w:rPr>
                <w:b/>
              </w:rPr>
            </w:pPr>
            <w:r w:rsidRPr="00C66C29">
              <w:rPr>
                <w:b/>
              </w:rPr>
              <w:t>Graduation Rate</w:t>
            </w:r>
          </w:p>
        </w:tc>
        <w:tc>
          <w:tcPr>
            <w:tcW w:w="2600" w:type="dxa"/>
            <w:tcBorders>
              <w:bottom w:val="single" w:color="auto" w:sz="4" w:space="0"/>
            </w:tcBorders>
            <w:shd w:val="clear" w:color="auto" w:fill="162662"/>
            <w:tcMar/>
            <w:vAlign w:val="center"/>
          </w:tcPr>
          <w:p w:rsidRPr="00C66C29" w:rsidR="00C66C29" w:rsidP="00C66C29" w:rsidRDefault="00C66C29" w14:paraId="41007326" w14:textId="6121F9E8">
            <w:pPr>
              <w:jc w:val="center"/>
              <w:rPr>
                <w:b/>
              </w:rPr>
            </w:pPr>
            <w:r w:rsidRPr="00C66C29">
              <w:rPr>
                <w:b/>
              </w:rPr>
              <w:t>Median Earnings</w:t>
            </w:r>
          </w:p>
        </w:tc>
      </w:tr>
      <w:tr w:rsidR="00C66C29" w:rsidTr="56A9708A" w14:paraId="6CA8DF3C"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C66C29" w:rsidP="00C87701" w:rsidRDefault="00C66C29" w14:paraId="7F9AB1ED" w14:textId="621D4DBD"/>
        </w:tc>
        <w:tc>
          <w:tcPr>
            <w:tcW w:w="252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691FA4BE" w14:textId="77777777"/>
        </w:tc>
        <w:tc>
          <w:tcPr>
            <w:tcW w:w="189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7DFFFFCF" w14:textId="77777777"/>
        </w:tc>
        <w:tc>
          <w:tcPr>
            <w:tcW w:w="260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6DE80C83" w14:textId="619696AF"/>
        </w:tc>
      </w:tr>
      <w:tr w:rsidR="00C66C29" w:rsidTr="56A9708A" w14:paraId="42469C15"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C66C29" w:rsidP="00C87701" w:rsidRDefault="00C66C29" w14:paraId="4C5B9913" w14:textId="77777777"/>
        </w:tc>
        <w:tc>
          <w:tcPr>
            <w:tcW w:w="252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710C3F7F" w14:textId="77777777"/>
        </w:tc>
        <w:tc>
          <w:tcPr>
            <w:tcW w:w="189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7DECE3EB" w14:textId="77777777"/>
        </w:tc>
        <w:tc>
          <w:tcPr>
            <w:tcW w:w="260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03F0A716" w14:textId="77777777"/>
        </w:tc>
      </w:tr>
      <w:tr w:rsidR="00C66C29" w:rsidTr="56A9708A" w14:paraId="0654E1EE"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C66C29" w:rsidP="00C87701" w:rsidRDefault="00C66C29" w14:paraId="5EC67DDB" w14:textId="77777777"/>
        </w:tc>
        <w:tc>
          <w:tcPr>
            <w:tcW w:w="252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7FD7263A" w14:textId="77777777"/>
        </w:tc>
        <w:tc>
          <w:tcPr>
            <w:tcW w:w="189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7BE27FF2" w14:textId="77777777"/>
        </w:tc>
        <w:tc>
          <w:tcPr>
            <w:tcW w:w="2600" w:type="dxa"/>
            <w:tcBorders>
              <w:top w:val="single" w:color="auto" w:sz="4" w:space="0"/>
              <w:left w:val="single" w:color="auto" w:sz="4" w:space="0"/>
              <w:bottom w:val="single" w:color="auto" w:sz="4" w:space="0"/>
              <w:right w:val="single" w:color="auto" w:sz="4" w:space="0"/>
            </w:tcBorders>
            <w:shd w:val="clear" w:color="auto" w:fill="auto"/>
            <w:tcMar/>
          </w:tcPr>
          <w:p w:rsidR="00C66C29" w:rsidP="79BEEDB6" w:rsidRDefault="00C66C29" w14:paraId="3B5350F0" w14:textId="77777777"/>
        </w:tc>
      </w:tr>
      <w:tr w:rsidR="00BA5310" w:rsidTr="56A9708A" w14:paraId="3719D1E4" w14:textId="77777777">
        <w:trPr>
          <w:trHeight w:val="2270"/>
        </w:trPr>
        <w:tc>
          <w:tcPr>
            <w:tcW w:w="3240" w:type="dxa"/>
            <w:tcBorders>
              <w:top w:val="single" w:color="auto" w:sz="4" w:space="0"/>
              <w:bottom w:val="single" w:color="auto" w:sz="4" w:space="0"/>
            </w:tcBorders>
            <w:shd w:val="clear" w:color="auto" w:fill="162662"/>
            <w:tcMar/>
          </w:tcPr>
          <w:p w:rsidR="00BA5310" w:rsidP="00BA5310" w:rsidRDefault="00BA5310" w14:paraId="067DA361" w14:textId="2DC43AC5">
            <w:r w:rsidRPr="56A9708A" w:rsidR="54574105">
              <w:rPr>
                <w:b w:val="1"/>
                <w:bCs w:val="1"/>
                <w:u w:val="single"/>
              </w:rPr>
              <w:t>Costs</w:t>
            </w:r>
            <w:r w:rsidR="54574105">
              <w:rPr/>
              <w:t>: For the school that costs the most, does it have higher or lower median earnings</w:t>
            </w:r>
            <w:r w:rsidR="54574105">
              <w:rPr/>
              <w:t xml:space="preserve"> compare</w:t>
            </w:r>
            <w:r w:rsidR="0BD64E05">
              <w:rPr/>
              <w:t>d</w:t>
            </w:r>
            <w:r w:rsidR="54574105">
              <w:rPr/>
              <w:t xml:space="preserve"> to the other training providers</w:t>
            </w:r>
            <w:r w:rsidR="54574105">
              <w:rPr/>
              <w:t>?</w:t>
            </w:r>
            <w:r w:rsidR="00A019B8">
              <w:rPr/>
              <w:t xml:space="preserve"> Explain why you think that is the case.</w:t>
            </w:r>
          </w:p>
        </w:tc>
        <w:tc>
          <w:tcPr>
            <w:tcW w:w="7550" w:type="dxa"/>
            <w:gridSpan w:val="4"/>
            <w:tcBorders>
              <w:top w:val="single" w:color="auto" w:sz="4" w:space="0"/>
              <w:bottom w:val="single" w:color="auto" w:sz="4" w:space="0"/>
            </w:tcBorders>
            <w:shd w:val="clear" w:color="auto" w:fill="auto"/>
            <w:tcMar/>
          </w:tcPr>
          <w:p w:rsidR="00BA5310" w:rsidP="79BEEDB6" w:rsidRDefault="00BA5310" w14:paraId="02DCE11A" w14:textId="581D3CD9"/>
          <w:p w:rsidR="00BA5310" w:rsidP="79BEEDB6" w:rsidRDefault="00BA5310" w14:paraId="1D81132B" w14:textId="365A04C2"/>
        </w:tc>
      </w:tr>
      <w:tr w:rsidR="00BA5310" w:rsidTr="56A9708A" w14:paraId="17A3F8DF" w14:textId="77777777">
        <w:trPr>
          <w:trHeight w:val="2270"/>
        </w:trPr>
        <w:tc>
          <w:tcPr>
            <w:tcW w:w="3240" w:type="dxa"/>
            <w:tcBorders>
              <w:top w:val="single" w:color="auto" w:sz="4" w:space="0"/>
              <w:bottom w:val="single" w:color="auto" w:sz="4" w:space="0"/>
            </w:tcBorders>
            <w:shd w:val="clear" w:color="auto" w:fill="162662"/>
            <w:tcMar/>
          </w:tcPr>
          <w:p w:rsidRPr="00BA5310" w:rsidR="00BA5310" w:rsidP="56A9708A" w:rsidRDefault="00BA5310" w14:paraId="62E37A49" w14:textId="76AE9F47">
            <w:pPr>
              <w:rPr>
                <w:b w:val="1"/>
                <w:bCs w:val="1"/>
                <w:u w:val="single"/>
              </w:rPr>
            </w:pPr>
            <w:r w:rsidRPr="56A9708A" w:rsidR="54574105">
              <w:rPr>
                <w:b w:val="1"/>
                <w:bCs w:val="1"/>
                <w:u w:val="single"/>
              </w:rPr>
              <w:t>Graduation rate</w:t>
            </w:r>
            <w:r w:rsidRPr="56A9708A" w:rsidR="54574105">
              <w:rPr>
                <w:b w:val="1"/>
                <w:bCs w:val="1"/>
                <w:u w:val="none"/>
              </w:rPr>
              <w:t>:</w:t>
            </w:r>
            <w:r w:rsidRPr="56A9708A" w:rsidR="0062A948">
              <w:rPr>
                <w:b w:val="1"/>
                <w:bCs w:val="1"/>
                <w:u w:val="none"/>
              </w:rPr>
              <w:t xml:space="preserve"> </w:t>
            </w:r>
            <w:r w:rsidR="54574105">
              <w:rPr/>
              <w:t>For the training provider with the highest graduation rate, go under its ‘Graduation &amp; Retention’ section and list the top reasons for not graduating (transferring, withdrawing, etc.).</w:t>
            </w:r>
          </w:p>
        </w:tc>
        <w:tc>
          <w:tcPr>
            <w:tcW w:w="7550" w:type="dxa"/>
            <w:gridSpan w:val="4"/>
            <w:tcBorders>
              <w:top w:val="single" w:color="auto" w:sz="4" w:space="0"/>
              <w:bottom w:val="single" w:color="auto" w:sz="4" w:space="0"/>
            </w:tcBorders>
            <w:shd w:val="clear" w:color="auto" w:fill="auto"/>
            <w:tcMar/>
          </w:tcPr>
          <w:p w:rsidR="00BA5310" w:rsidP="79BEEDB6" w:rsidRDefault="00BA5310" w14:paraId="4BD7249A" w14:textId="77777777"/>
        </w:tc>
      </w:tr>
      <w:tr w:rsidR="00BA5310" w:rsidTr="56A9708A" w14:paraId="286F91AF" w14:textId="77777777">
        <w:trPr>
          <w:trHeight w:val="2270"/>
        </w:trPr>
        <w:tc>
          <w:tcPr>
            <w:tcW w:w="3240" w:type="dxa"/>
            <w:tcBorders>
              <w:top w:val="single" w:color="auto" w:sz="4" w:space="0"/>
              <w:bottom w:val="single" w:color="auto" w:sz="4" w:space="0"/>
            </w:tcBorders>
            <w:shd w:val="clear" w:color="auto" w:fill="162662"/>
            <w:tcMar/>
          </w:tcPr>
          <w:p w:rsidRPr="00BA5310" w:rsidR="00BA5310" w:rsidP="00A019B8" w:rsidRDefault="00BA5310" w14:paraId="2CD76085" w14:textId="09B79B08">
            <w:pPr>
              <w:rPr>
                <w:b/>
                <w:u w:val="single"/>
              </w:rPr>
            </w:pPr>
            <w:r w:rsidRPr="00BA5310">
              <w:rPr>
                <w:b/>
                <w:u w:val="single"/>
              </w:rPr>
              <w:t>Earnings</w:t>
            </w:r>
            <w:r>
              <w:t>:</w:t>
            </w:r>
            <w:r w:rsidR="00A019B8">
              <w:t xml:space="preserve"> Subtract the highest median earnings from the lowest.  List factors that could contribute to this earnings difference.</w:t>
            </w:r>
          </w:p>
        </w:tc>
        <w:tc>
          <w:tcPr>
            <w:tcW w:w="7550" w:type="dxa"/>
            <w:gridSpan w:val="4"/>
            <w:tcBorders>
              <w:top w:val="single" w:color="auto" w:sz="4" w:space="0"/>
              <w:bottom w:val="single" w:color="auto" w:sz="4" w:space="0"/>
            </w:tcBorders>
            <w:shd w:val="clear" w:color="auto" w:fill="auto"/>
            <w:tcMar/>
          </w:tcPr>
          <w:p w:rsidR="00BA5310" w:rsidP="79BEEDB6" w:rsidRDefault="00BA5310" w14:paraId="5D9E9965" w14:textId="77777777"/>
        </w:tc>
      </w:tr>
      <w:tr w:rsidR="00A019B8" w:rsidTr="56A9708A" w14:paraId="523B029C" w14:textId="77777777">
        <w:trPr>
          <w:trHeight w:val="2186"/>
        </w:trPr>
        <w:tc>
          <w:tcPr>
            <w:tcW w:w="3240" w:type="dxa"/>
            <w:tcBorders>
              <w:top w:val="single" w:color="auto" w:sz="4" w:space="0"/>
              <w:bottom w:val="dotted" w:color="FFFFFF" w:themeColor="background1" w:sz="12" w:space="0"/>
            </w:tcBorders>
            <w:shd w:val="clear" w:color="auto" w:fill="162662"/>
            <w:tcMar/>
          </w:tcPr>
          <w:p w:rsidRPr="00A019B8" w:rsidR="00A019B8" w:rsidP="00A019B8" w:rsidRDefault="00A019B8" w14:paraId="4BB825DD" w14:textId="69907857">
            <w:r w:rsidRPr="56A9708A" w:rsidR="00A019B8">
              <w:rPr>
                <w:b w:val="1"/>
                <w:bCs w:val="1"/>
                <w:u w:val="single"/>
              </w:rPr>
              <w:t>Importance</w:t>
            </w:r>
            <w:r w:rsidRPr="56A9708A" w:rsidR="00A019B8">
              <w:rPr>
                <w:b w:val="1"/>
                <w:bCs w:val="1"/>
                <w:u w:val="none"/>
              </w:rPr>
              <w:t>:</w:t>
            </w:r>
            <w:r w:rsidRPr="56A9708A" w:rsidR="6A1845D5">
              <w:rPr>
                <w:b w:val="1"/>
                <w:bCs w:val="1"/>
                <w:u w:val="none"/>
              </w:rPr>
              <w:t xml:space="preserve"> </w:t>
            </w:r>
            <w:r w:rsidR="00A019B8">
              <w:rPr/>
              <w:t>List which data metric you think is the most important for choosing a training provider and explain why.</w:t>
            </w:r>
          </w:p>
        </w:tc>
        <w:tc>
          <w:tcPr>
            <w:tcW w:w="7550" w:type="dxa"/>
            <w:gridSpan w:val="4"/>
            <w:tcBorders>
              <w:top w:val="single" w:color="auto" w:sz="4" w:space="0"/>
              <w:bottom w:val="dotted" w:color="FFFFFF" w:themeColor="background1" w:sz="12" w:space="0"/>
            </w:tcBorders>
            <w:shd w:val="clear" w:color="auto" w:fill="auto"/>
            <w:tcMar/>
          </w:tcPr>
          <w:p w:rsidR="00A019B8" w:rsidP="79BEEDB6" w:rsidRDefault="00A019B8" w14:paraId="72917B7B" w14:textId="77777777"/>
        </w:tc>
      </w:tr>
    </w:tbl>
    <w:p w:rsidRPr="006879B0" w:rsidR="00BF5F1A" w:rsidP="003A7ABA" w:rsidRDefault="00BF5F1A" w14:paraId="0265B268" w14:textId="65AA59F2"/>
    <w:sectPr w:rsidRPr="006879B0" w:rsidR="00BF5F1A" w:rsidSect="002E070D">
      <w:headerReference w:type="default" r:id="rId15"/>
      <w:footerReference w:type="default" r:id="rId16"/>
      <w:pgSz w:w="12240" w:h="15840" w:orient="portrait"/>
      <w:pgMar w:top="1260" w:right="720" w:bottom="90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1E560AC6">
          <w:pPr>
            <w:pStyle w:val="Header"/>
            <w:tabs>
              <w:tab w:val="left" w:pos="783"/>
              <w:tab w:val="center" w:pos="1692"/>
            </w:tabs>
          </w:pPr>
          <w:r>
            <w:tab/>
          </w:r>
          <w:r>
            <w:tab/>
          </w:r>
          <w:r w:rsidR="4FADD2E5">
            <w:fldChar w:fldCharType="begin"/>
          </w:r>
          <w:r w:rsidR="4FADD2E5">
            <w:instrText>PAGE</w:instrText>
          </w:r>
          <w:r w:rsidR="4FADD2E5">
            <w:fldChar w:fldCharType="separate"/>
          </w:r>
          <w:r w:rsidR="00EA3E8C">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EA3E8C">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678"/>
    <w:multiLevelType w:val="multilevel"/>
    <w:tmpl w:val="BA9C8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2"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3"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4"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5"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6"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8"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9"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0"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2"/>
  </w:num>
  <w:num w:numId="4">
    <w:abstractNumId w:val="3"/>
  </w:num>
  <w:num w:numId="5">
    <w:abstractNumId w:val="4"/>
  </w:num>
  <w:num w:numId="6">
    <w:abstractNumId w:val="1"/>
  </w:num>
  <w:num w:numId="7">
    <w:abstractNumId w:val="7"/>
  </w:num>
  <w:num w:numId="8">
    <w:abstractNumId w:val="5"/>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073D7"/>
    <w:rsid w:val="0009727E"/>
    <w:rsid w:val="001C4ECB"/>
    <w:rsid w:val="001D2A37"/>
    <w:rsid w:val="00215114"/>
    <w:rsid w:val="002C26F4"/>
    <w:rsid w:val="002E070D"/>
    <w:rsid w:val="0030460E"/>
    <w:rsid w:val="003A7ABA"/>
    <w:rsid w:val="004A3749"/>
    <w:rsid w:val="00533770"/>
    <w:rsid w:val="0054A149"/>
    <w:rsid w:val="0062A948"/>
    <w:rsid w:val="00635A15"/>
    <w:rsid w:val="00643D03"/>
    <w:rsid w:val="006879B0"/>
    <w:rsid w:val="006913D1"/>
    <w:rsid w:val="006F5D6D"/>
    <w:rsid w:val="007A6CD7"/>
    <w:rsid w:val="007C4913"/>
    <w:rsid w:val="00897455"/>
    <w:rsid w:val="00A019B8"/>
    <w:rsid w:val="00A45077"/>
    <w:rsid w:val="00B51B86"/>
    <w:rsid w:val="00BA5310"/>
    <w:rsid w:val="00BF5F1A"/>
    <w:rsid w:val="00C66C29"/>
    <w:rsid w:val="00CE41CD"/>
    <w:rsid w:val="00D743C6"/>
    <w:rsid w:val="00D929C9"/>
    <w:rsid w:val="00E37540"/>
    <w:rsid w:val="00EA3E8C"/>
    <w:rsid w:val="00EC04A6"/>
    <w:rsid w:val="00F92161"/>
    <w:rsid w:val="00FF7919"/>
    <w:rsid w:val="01A300FF"/>
    <w:rsid w:val="0215F18F"/>
    <w:rsid w:val="0218BD12"/>
    <w:rsid w:val="02205186"/>
    <w:rsid w:val="024A07B6"/>
    <w:rsid w:val="04050210"/>
    <w:rsid w:val="042E9844"/>
    <w:rsid w:val="05D97D26"/>
    <w:rsid w:val="06767222"/>
    <w:rsid w:val="09EF945D"/>
    <w:rsid w:val="0A4B33D7"/>
    <w:rsid w:val="0A6EB137"/>
    <w:rsid w:val="0BAD23C5"/>
    <w:rsid w:val="0BD64E05"/>
    <w:rsid w:val="0BD7C19F"/>
    <w:rsid w:val="0BEBAD4B"/>
    <w:rsid w:val="0CBCF9FA"/>
    <w:rsid w:val="0D99368B"/>
    <w:rsid w:val="0DA07338"/>
    <w:rsid w:val="0E1F12BF"/>
    <w:rsid w:val="0E86678F"/>
    <w:rsid w:val="0F4A0EE5"/>
    <w:rsid w:val="0F633742"/>
    <w:rsid w:val="1034410C"/>
    <w:rsid w:val="1072975D"/>
    <w:rsid w:val="10969EE7"/>
    <w:rsid w:val="10CF08C5"/>
    <w:rsid w:val="1117ED55"/>
    <w:rsid w:val="112583F8"/>
    <w:rsid w:val="11E7B5E2"/>
    <w:rsid w:val="120FF9A5"/>
    <w:rsid w:val="1281AFA7"/>
    <w:rsid w:val="12893A0E"/>
    <w:rsid w:val="12C15459"/>
    <w:rsid w:val="13641C45"/>
    <w:rsid w:val="14B9340A"/>
    <w:rsid w:val="14D4FC63"/>
    <w:rsid w:val="150223C3"/>
    <w:rsid w:val="15ED90BF"/>
    <w:rsid w:val="16B3D9BF"/>
    <w:rsid w:val="174BA561"/>
    <w:rsid w:val="1856F766"/>
    <w:rsid w:val="190300E3"/>
    <w:rsid w:val="19F2C7C7"/>
    <w:rsid w:val="1AE0BC65"/>
    <w:rsid w:val="1B19133C"/>
    <w:rsid w:val="1BECDAD5"/>
    <w:rsid w:val="1C4DD481"/>
    <w:rsid w:val="1C702425"/>
    <w:rsid w:val="1C9237F8"/>
    <w:rsid w:val="1CD6F333"/>
    <w:rsid w:val="1D23C295"/>
    <w:rsid w:val="1D7E52F6"/>
    <w:rsid w:val="1DFD0BFC"/>
    <w:rsid w:val="1E2DDB95"/>
    <w:rsid w:val="1E5F08BB"/>
    <w:rsid w:val="1E8054AA"/>
    <w:rsid w:val="1F0EA7BF"/>
    <w:rsid w:val="1F1285E7"/>
    <w:rsid w:val="1F64C0B1"/>
    <w:rsid w:val="1F898DDD"/>
    <w:rsid w:val="1F98DC5D"/>
    <w:rsid w:val="1FF97ED7"/>
    <w:rsid w:val="20922098"/>
    <w:rsid w:val="20D51B24"/>
    <w:rsid w:val="20FBF248"/>
    <w:rsid w:val="2134ACBE"/>
    <w:rsid w:val="21DAAAD0"/>
    <w:rsid w:val="222C1D98"/>
    <w:rsid w:val="224A26A9"/>
    <w:rsid w:val="22BC1595"/>
    <w:rsid w:val="22DB34FC"/>
    <w:rsid w:val="233A24A7"/>
    <w:rsid w:val="238635AF"/>
    <w:rsid w:val="23BE56C9"/>
    <w:rsid w:val="23C7E932"/>
    <w:rsid w:val="24526E3A"/>
    <w:rsid w:val="247B360A"/>
    <w:rsid w:val="25E07D34"/>
    <w:rsid w:val="25E0998A"/>
    <w:rsid w:val="25FDAB93"/>
    <w:rsid w:val="2685339E"/>
    <w:rsid w:val="26A6CDAA"/>
    <w:rsid w:val="26DC8073"/>
    <w:rsid w:val="280DF8D6"/>
    <w:rsid w:val="283E9FA3"/>
    <w:rsid w:val="287508B6"/>
    <w:rsid w:val="28EDED93"/>
    <w:rsid w:val="290F027B"/>
    <w:rsid w:val="29316191"/>
    <w:rsid w:val="294EA72D"/>
    <w:rsid w:val="2960DE23"/>
    <w:rsid w:val="299E8BAC"/>
    <w:rsid w:val="29BC60D5"/>
    <w:rsid w:val="29D0F0AE"/>
    <w:rsid w:val="2A10D917"/>
    <w:rsid w:val="2AAAD2DC"/>
    <w:rsid w:val="2C2C6B1F"/>
    <w:rsid w:val="2C46A33D"/>
    <w:rsid w:val="2C6441F7"/>
    <w:rsid w:val="2DBFDDA9"/>
    <w:rsid w:val="2EAE0325"/>
    <w:rsid w:val="2F693CEB"/>
    <w:rsid w:val="30592869"/>
    <w:rsid w:val="31B39B28"/>
    <w:rsid w:val="31CCFA5E"/>
    <w:rsid w:val="321C25C4"/>
    <w:rsid w:val="3287A131"/>
    <w:rsid w:val="35FF953B"/>
    <w:rsid w:val="36C5DF7B"/>
    <w:rsid w:val="3707C4CB"/>
    <w:rsid w:val="389F77ED"/>
    <w:rsid w:val="38D51F92"/>
    <w:rsid w:val="399B2FDA"/>
    <w:rsid w:val="39B07295"/>
    <w:rsid w:val="39B84203"/>
    <w:rsid w:val="39D456F0"/>
    <w:rsid w:val="39FB8949"/>
    <w:rsid w:val="3A32E680"/>
    <w:rsid w:val="3A3F658D"/>
    <w:rsid w:val="3A458331"/>
    <w:rsid w:val="3A570BDF"/>
    <w:rsid w:val="3AE9C65F"/>
    <w:rsid w:val="3B3E1EB8"/>
    <w:rsid w:val="3B4F182F"/>
    <w:rsid w:val="3D69D347"/>
    <w:rsid w:val="3D84809A"/>
    <w:rsid w:val="3DC0FD07"/>
    <w:rsid w:val="3E221CFD"/>
    <w:rsid w:val="3EEEA38C"/>
    <w:rsid w:val="3EF9867A"/>
    <w:rsid w:val="3F05A3A8"/>
    <w:rsid w:val="404A6108"/>
    <w:rsid w:val="40A17409"/>
    <w:rsid w:val="40EEDDA1"/>
    <w:rsid w:val="417D8D79"/>
    <w:rsid w:val="41B5AE93"/>
    <w:rsid w:val="422C14F4"/>
    <w:rsid w:val="423D446A"/>
    <w:rsid w:val="42C4EFE6"/>
    <w:rsid w:val="43D914CB"/>
    <w:rsid w:val="451DD22B"/>
    <w:rsid w:val="46A2A9F5"/>
    <w:rsid w:val="46CEE196"/>
    <w:rsid w:val="47A4E8E8"/>
    <w:rsid w:val="47AB6701"/>
    <w:rsid w:val="487098DB"/>
    <w:rsid w:val="48A354D5"/>
    <w:rsid w:val="49BB55E6"/>
    <w:rsid w:val="4AD9BD97"/>
    <w:rsid w:val="4B5968BB"/>
    <w:rsid w:val="4C4E8671"/>
    <w:rsid w:val="4CB38BA2"/>
    <w:rsid w:val="4DEA7DA3"/>
    <w:rsid w:val="4FADD2E5"/>
    <w:rsid w:val="4FD20407"/>
    <w:rsid w:val="5069AC62"/>
    <w:rsid w:val="514730D5"/>
    <w:rsid w:val="518AF8D4"/>
    <w:rsid w:val="519F6571"/>
    <w:rsid w:val="51B74D60"/>
    <w:rsid w:val="5288A8FC"/>
    <w:rsid w:val="52D136B4"/>
    <w:rsid w:val="53A99B4A"/>
    <w:rsid w:val="53FA790A"/>
    <w:rsid w:val="54466C22"/>
    <w:rsid w:val="544995C6"/>
    <w:rsid w:val="54574105"/>
    <w:rsid w:val="553F6FEA"/>
    <w:rsid w:val="55A6B66A"/>
    <w:rsid w:val="56A9708A"/>
    <w:rsid w:val="595AB84C"/>
    <w:rsid w:val="5965E56F"/>
    <w:rsid w:val="5985A196"/>
    <w:rsid w:val="5A0F5700"/>
    <w:rsid w:val="5A1D83F2"/>
    <w:rsid w:val="5A5B7636"/>
    <w:rsid w:val="5A6D723A"/>
    <w:rsid w:val="5AE201AE"/>
    <w:rsid w:val="5AF2B9B2"/>
    <w:rsid w:val="5B077B6B"/>
    <w:rsid w:val="5B8FDD21"/>
    <w:rsid w:val="5BB95453"/>
    <w:rsid w:val="5C09429B"/>
    <w:rsid w:val="5CFA76AF"/>
    <w:rsid w:val="5D0BEE16"/>
    <w:rsid w:val="5D2BAD82"/>
    <w:rsid w:val="5DA8EF4F"/>
    <w:rsid w:val="5E2F6FA9"/>
    <w:rsid w:val="5E6BBD20"/>
    <w:rsid w:val="5E70B571"/>
    <w:rsid w:val="5F423FCA"/>
    <w:rsid w:val="5F8C6760"/>
    <w:rsid w:val="600C85D2"/>
    <w:rsid w:val="60E573B3"/>
    <w:rsid w:val="6167106B"/>
    <w:rsid w:val="627A10C7"/>
    <w:rsid w:val="635774A8"/>
    <w:rsid w:val="63FC9628"/>
    <w:rsid w:val="642D5A29"/>
    <w:rsid w:val="648588D0"/>
    <w:rsid w:val="64AD854B"/>
    <w:rsid w:val="6565C58A"/>
    <w:rsid w:val="67A84847"/>
    <w:rsid w:val="67B065C6"/>
    <w:rsid w:val="68C5AD47"/>
    <w:rsid w:val="6988E3F4"/>
    <w:rsid w:val="699FC0D6"/>
    <w:rsid w:val="69F45A06"/>
    <w:rsid w:val="6A1845D5"/>
    <w:rsid w:val="6A7CA4B6"/>
    <w:rsid w:val="6BDED17B"/>
    <w:rsid w:val="6C51C20B"/>
    <w:rsid w:val="6DED926C"/>
    <w:rsid w:val="6E6E8B58"/>
    <w:rsid w:val="6E9D8D60"/>
    <w:rsid w:val="6F8962CD"/>
    <w:rsid w:val="6FC22496"/>
    <w:rsid w:val="70154DA2"/>
    <w:rsid w:val="708819C5"/>
    <w:rsid w:val="70991A41"/>
    <w:rsid w:val="70D44BC7"/>
    <w:rsid w:val="70E5A0E1"/>
    <w:rsid w:val="71245D11"/>
    <w:rsid w:val="71613F29"/>
    <w:rsid w:val="716F5482"/>
    <w:rsid w:val="7182F191"/>
    <w:rsid w:val="71AD2C8C"/>
    <w:rsid w:val="72773294"/>
    <w:rsid w:val="72983CD1"/>
    <w:rsid w:val="72C1038F"/>
    <w:rsid w:val="74870453"/>
    <w:rsid w:val="7499B350"/>
    <w:rsid w:val="74CB969B"/>
    <w:rsid w:val="74F316DC"/>
    <w:rsid w:val="758B019B"/>
    <w:rsid w:val="768EE73D"/>
    <w:rsid w:val="76C4034D"/>
    <w:rsid w:val="76FB8755"/>
    <w:rsid w:val="7725AE00"/>
    <w:rsid w:val="77E45B72"/>
    <w:rsid w:val="77EA0F00"/>
    <w:rsid w:val="7803375D"/>
    <w:rsid w:val="782AB79E"/>
    <w:rsid w:val="78B73040"/>
    <w:rsid w:val="79233C7A"/>
    <w:rsid w:val="79BEEDB6"/>
    <w:rsid w:val="79C687FF"/>
    <w:rsid w:val="7A332EFD"/>
    <w:rsid w:val="7A522EF3"/>
    <w:rsid w:val="7BA04719"/>
    <w:rsid w:val="7C0409C6"/>
    <w:rsid w:val="7D152CFD"/>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 w:type="paragraph" w:styleId="paragraph" w:customStyle="1">
    <w:name w:val="paragraph"/>
    <w:basedOn w:val="Normal"/>
    <w:rsid w:val="0030460E"/>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059541">
      <w:bodyDiv w:val="1"/>
      <w:marLeft w:val="0"/>
      <w:marRight w:val="0"/>
      <w:marTop w:val="0"/>
      <w:marBottom w:val="0"/>
      <w:divBdr>
        <w:top w:val="none" w:sz="0" w:space="0" w:color="auto"/>
        <w:left w:val="none" w:sz="0" w:space="0" w:color="auto"/>
        <w:bottom w:val="none" w:sz="0" w:space="0" w:color="auto"/>
        <w:right w:val="none" w:sz="0" w:space="0" w:color="auto"/>
      </w:divBdr>
      <w:divsChild>
        <w:div w:id="878781389">
          <w:marLeft w:val="0"/>
          <w:marRight w:val="0"/>
          <w:marTop w:val="0"/>
          <w:marBottom w:val="0"/>
          <w:divBdr>
            <w:top w:val="none" w:sz="0" w:space="0" w:color="auto"/>
            <w:left w:val="none" w:sz="0" w:space="0" w:color="auto"/>
            <w:bottom w:val="none" w:sz="0" w:space="0" w:color="auto"/>
            <w:right w:val="none" w:sz="0" w:space="0" w:color="auto"/>
          </w:divBdr>
        </w:div>
        <w:div w:id="20082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loridajobs.org/wser-home/products-and-services/public-higher-education/public-higher-education-porta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llegescorecard.ed.gov/" TargetMode="External" Id="rId14" /><Relationship Type="http://schemas.openxmlformats.org/officeDocument/2006/relationships/hyperlink" Target="https://collegescorecard.ed.gov/" TargetMode="External" Id="Rb1461988ae8e4be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2.xml><?xml version="1.0" encoding="utf-8"?>
<ds:datastoreItem xmlns:ds="http://schemas.openxmlformats.org/officeDocument/2006/customXml" ds:itemID="{DC1786B1-1CF5-42A4-BCD0-EB2A34251357}">
  <ds:schemaRefs>
    <ds:schemaRef ds:uri="ad124424-9420-4804-ba35-18f4348b58e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7ca310b-29a2-48c6-b248-81c38a54d533"/>
    <ds:schemaRef ds:uri="http://www.w3.org/XML/1998/namespace"/>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7BACF-C432-480A-96C4-02F853523E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21</revision>
  <lastPrinted>2023-01-31T20:25:00.0000000Z</lastPrinted>
  <dcterms:created xsi:type="dcterms:W3CDTF">2023-01-23T16:08:00.0000000Z</dcterms:created>
  <dcterms:modified xsi:type="dcterms:W3CDTF">2023-05-02T17:17:06.9693817Z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