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5D92" w14:textId="510EF8E3" w:rsidR="00505D57" w:rsidRDefault="000F3906" w:rsidP="000F3906">
      <w:pPr>
        <w:pStyle w:val="Heading1"/>
        <w:tabs>
          <w:tab w:val="center" w:pos="4680"/>
        </w:tabs>
      </w:pPr>
      <w:r>
        <w:tab/>
      </w:r>
      <w:r w:rsidR="00291F40">
        <w:t xml:space="preserve">Early Learning Answers </w:t>
      </w:r>
      <w:r w:rsidR="00980E17">
        <w:t>o</w:t>
      </w:r>
      <w:r w:rsidR="00291F40">
        <w:t>n the Go</w:t>
      </w:r>
      <w:r w:rsidR="00B32C3C">
        <w:t xml:space="preserve"> </w:t>
      </w:r>
      <w:r w:rsidR="00254DB9">
        <w:t>33s</w:t>
      </w:r>
      <w:r w:rsidR="00980E17">
        <w:t>.</w:t>
      </w:r>
      <w:r w:rsidR="00C36DC7">
        <w:t xml:space="preserve"> - </w:t>
      </w:r>
      <w:r w:rsidR="006512FC">
        <w:t>Spanish</w:t>
      </w:r>
      <w:r w:rsidR="00C36DC7">
        <w:t xml:space="preserve"> Version</w:t>
      </w:r>
    </w:p>
    <w:tbl>
      <w:tblPr>
        <w:tblStyle w:val="TableGrid"/>
        <w:tblpPr w:leftFromText="180" w:rightFromText="180" w:vertAnchor="page" w:horzAnchor="margin" w:tblpY="2553"/>
        <w:tblW w:w="9265" w:type="dxa"/>
        <w:tblLayout w:type="fixed"/>
        <w:tblLook w:val="04A0" w:firstRow="1" w:lastRow="0" w:firstColumn="1" w:lastColumn="0" w:noHBand="0" w:noVBand="1"/>
      </w:tblPr>
      <w:tblGrid>
        <w:gridCol w:w="9265"/>
      </w:tblGrid>
      <w:tr w:rsidR="001E5225" w:rsidRPr="00195453" w14:paraId="64A45402" w14:textId="77777777" w:rsidTr="001E5225">
        <w:trPr>
          <w:trHeight w:val="782"/>
        </w:trPr>
        <w:tc>
          <w:tcPr>
            <w:tcW w:w="9265" w:type="dxa"/>
          </w:tcPr>
          <w:p w14:paraId="6BF07CE8" w14:textId="33828A51" w:rsidR="001E5225" w:rsidRPr="00662142" w:rsidRDefault="001E5225" w:rsidP="00B9486B">
            <w:pP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922BF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br/>
            </w:r>
            <w:r w:rsidRPr="00662142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33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s</w:t>
            </w:r>
            <w:r w:rsidRPr="00662142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 P</w:t>
            </w:r>
            <w:r w:rsidRPr="007867B9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ublici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tar</w:t>
            </w:r>
            <w:r w:rsidRPr="007867B9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su negocio a través del Portal para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</w:t>
            </w:r>
            <w:r w:rsidRPr="007867B9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roveedores de Florida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.</w:t>
            </w:r>
          </w:p>
          <w:p w14:paraId="03F4CC71" w14:textId="77777777" w:rsidR="001E5225" w:rsidRPr="00662142" w:rsidRDefault="001E5225" w:rsidP="00665F76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1E5225" w:rsidRPr="00195453" w14:paraId="16CB01C1" w14:textId="77777777" w:rsidTr="001E5225">
        <w:trPr>
          <w:trHeight w:val="890"/>
        </w:trPr>
        <w:tc>
          <w:tcPr>
            <w:tcW w:w="9265" w:type="dxa"/>
          </w:tcPr>
          <w:p w14:paraId="0CEDCCB6" w14:textId="25D27CEA" w:rsidR="001E5225" w:rsidRPr="00826836" w:rsidRDefault="001E5225" w:rsidP="00FE1C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bookmarkStart w:id="0" w:name="_Hlk137649214"/>
            <w:bookmarkStart w:id="1" w:name="_Hlk137649150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 red de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Recursos y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Referencias 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de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uidado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de Niños 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de Florida o CCR&amp;R ofrece información y servicios de </w:t>
            </w:r>
            <w:r w:rsidRPr="005A125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ef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erencia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manera 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gratuita a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las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familias que buscan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cuidado de niños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en toda Florida. CCR&amp;R también proporciona listas de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cuidado de niños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gratuitas y personalizadas a las familias que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están en busca de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los programas adecuados para sus hijos. 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 División de Aprendizaje Temprano del Departamento de Educación de Florida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se</w:t>
            </w:r>
            <w:r w:rsidRPr="00DA541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asocia </w:t>
            </w:r>
            <w:r w:rsidRPr="00FA1F2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con 30 coaliciones de aprendizaje temprano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para ofrecer este programa.</w:t>
            </w:r>
          </w:p>
          <w:p w14:paraId="19D3234F" w14:textId="77777777" w:rsidR="001E5225" w:rsidRPr="00826836" w:rsidRDefault="001E5225" w:rsidP="00FE1C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53FE4239" w14:textId="7735633F" w:rsidR="001E5225" w:rsidRPr="00826836" w:rsidRDefault="001E5225" w:rsidP="00FE1C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Cuando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un padre o tu</w:t>
            </w:r>
            <w:r w:rsidRPr="005A125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tor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llama a CCR&amp;R para obtener ayuda para encontrar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cuidado de niños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, un especialista de CCR&amp;R les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propor</w:t>
            </w:r>
            <w:r w:rsidRPr="005A125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cion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información educativa para el consumidor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que incluye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: tipos de cuidado disponibles; qué constituye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cuidado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calidad; guía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y una lista de verificación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para ayudar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a seleccionar un proveedor,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información acerca de las 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necesidades de desarrollo de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niños de diferentes edades; costo promedio de cuidado de niños; acceso a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informes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inspección de proveedores e historial de quejas de proveedores y más. El especialista de CCR&amp;R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recopila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la información de la familia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para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genera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una lista personalizada de pr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oveedores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  <w:p w14:paraId="5C3F6B35" w14:textId="77777777" w:rsidR="001E5225" w:rsidRPr="00826836" w:rsidRDefault="001E5225" w:rsidP="00FE1C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0800BCAE" w14:textId="65AC8E30" w:rsidR="001E5225" w:rsidRPr="00826836" w:rsidRDefault="001E5225" w:rsidP="00FE1C1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Los tipos de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proveedor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cuidado de niños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que opera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legalmente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son: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  </w:t>
            </w:r>
          </w:p>
          <w:bookmarkEnd w:id="0"/>
          <w:p w14:paraId="1F530C52" w14:textId="77777777" w:rsidR="001E5225" w:rsidRPr="00826836" w:rsidRDefault="001E5225" w:rsidP="00FE1C1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06C9005C" w14:textId="77777777" w:rsidR="001E5225" w:rsidRPr="00C022EE" w:rsidRDefault="001E5225" w:rsidP="00FE1C1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bookmarkStart w:id="2" w:name="_Hlk137649233"/>
            <w:bookmarkStart w:id="3" w:name="_Hlk137649222"/>
            <w:r w:rsidRPr="00C022E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Centro de cuidado de niños con licencia o exento</w:t>
            </w:r>
          </w:p>
          <w:p w14:paraId="681F77CD" w14:textId="77777777" w:rsidR="001E5225" w:rsidRPr="00C022EE" w:rsidRDefault="001E5225" w:rsidP="00FE1C1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022E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Hogar familiar de cuidado de niños con licencia o registrado</w:t>
            </w:r>
          </w:p>
          <w:p w14:paraId="1A43DE06" w14:textId="77777777" w:rsidR="001E5225" w:rsidRPr="00C022EE" w:rsidRDefault="001E5225" w:rsidP="00FE1C1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022E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Programa para antes y/o después de la escuela</w:t>
            </w:r>
          </w:p>
          <w:p w14:paraId="38A94AE5" w14:textId="0FD40A42" w:rsidR="001E5225" w:rsidRPr="00C022EE" w:rsidRDefault="001E5225" w:rsidP="00FE1C1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022E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Programas recrea</w:t>
            </w:r>
            <w:r w:rsidRPr="005A125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ti</w:t>
            </w:r>
            <w:r w:rsidRPr="00C022E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vos de verano y/o campamento de verano </w:t>
            </w:r>
          </w:p>
          <w:p w14:paraId="3E58F5B8" w14:textId="6E1EB491" w:rsidR="001E5225" w:rsidRPr="00F05FDF" w:rsidRDefault="001E5225" w:rsidP="00C022E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bookmarkStart w:id="4" w:name="_Hlk137649239"/>
            <w:bookmarkEnd w:id="2"/>
            <w:r w:rsidRPr="0082683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El Portal para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P</w:t>
            </w:r>
            <w:r w:rsidRPr="0082683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roveedores de Florida es una excelente opción para </w:t>
            </w:r>
            <w:r w:rsidRPr="005A125E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p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ublicitar</w:t>
            </w:r>
            <w:r w:rsidRPr="0082683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su programa y negocio. Si no lo ha hecho, registre su programa en 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p</w:t>
            </w:r>
            <w:r w:rsidRPr="0082683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ortal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de</w:t>
            </w:r>
            <w:r w:rsidRPr="0082683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p</w:t>
            </w:r>
            <w:r w:rsidRPr="00725A4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roveedores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.</w:t>
            </w:r>
            <w:r w:rsidRPr="00725A4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Comuníquese con el número gratuito de la División </w:t>
            </w:r>
            <w:r w:rsidRPr="00922BF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 uno-ocho-seis-seis, tres-cinco-siete, tres-dos-tres-nueve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para obtener la dirección web del </w:t>
            </w:r>
            <w:r w:rsidRPr="0082683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Portal de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S</w:t>
            </w:r>
            <w:r w:rsidRPr="0082683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ervicios para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P</w:t>
            </w:r>
            <w:r w:rsidRPr="00826836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roveedores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.</w:t>
            </w:r>
          </w:p>
          <w:bookmarkEnd w:id="3"/>
          <w:bookmarkEnd w:id="4"/>
          <w:p w14:paraId="51AB0E4E" w14:textId="40ADCF4B" w:rsidR="001E5225" w:rsidRPr="00C022EE" w:rsidRDefault="001E5225" w:rsidP="00FE1C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E67793" w14:textId="77777777" w:rsidR="001E5225" w:rsidRPr="00826836" w:rsidRDefault="001E5225" w:rsidP="00FE1C1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bookmarkStart w:id="5" w:name="_Hlk137649254"/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Registrar su programa le permite a su CCR&amp;R local conectar a las familias con su negocio.</w:t>
            </w:r>
          </w:p>
          <w:p w14:paraId="488636B1" w14:textId="77777777" w:rsidR="001E5225" w:rsidRPr="00826836" w:rsidRDefault="001E5225" w:rsidP="00FE1C1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5FECFA8B" w14:textId="33C82D06" w:rsidR="001E5225" w:rsidRPr="00826836" w:rsidRDefault="001E5225" w:rsidP="00FE1C1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CCR&amp;R realiza estos servicios para todos los proveedores d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 cuidado de niños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que operan legalmente. No hay cargos ni tarifas para usar el portal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proveedores y conectar a las familias con su programa. Una vez que su negocio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haya sido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agregado al portal de proveedores, su programa puede aparecer en las listas personalizadas de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cuidado de niños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que se 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compart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en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con las familias. Recuerde, la lista de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cuidado de niños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se basa en la elección de la familia y los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servicios en los 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programas que satisfa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gan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las necesidades de la familia.</w:t>
            </w:r>
          </w:p>
          <w:p w14:paraId="215482F6" w14:textId="77777777" w:rsidR="001E5225" w:rsidRPr="00826836" w:rsidRDefault="001E5225" w:rsidP="00FE1C1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4230D063" w14:textId="386F788D" w:rsidR="001E5225" w:rsidRPr="00826836" w:rsidRDefault="001E5225" w:rsidP="00FE1C1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CCR&amp;R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proporciona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a las familias información actualizada y precisa sobre los proveedores. Actualice su información en el portal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proveedores a medida que se produzcan cambios para que las familias tengan acceso a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la 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información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más reciente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sobre su programa.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ambién actualizará su información anualmente.</w:t>
            </w:r>
          </w:p>
          <w:p w14:paraId="4367E460" w14:textId="4D94E913" w:rsidR="001E5225" w:rsidRPr="00826836" w:rsidRDefault="001E5225" w:rsidP="00FE1C1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7331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lastRenderedPageBreak/>
              <w:t>Para obtener ayuda con el registro de su programa en el Portal para Proveedores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</w:t>
            </w:r>
            <w:r w:rsidRPr="0047331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puede comunicarse con el número de Recursos y Re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ferencias</w:t>
            </w:r>
            <w:r w:rsidRPr="0047331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</w:t>
            </w:r>
            <w:r w:rsidRPr="0047331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Cuidado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 Niños</w:t>
            </w:r>
            <w:r w:rsidRPr="0047331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la Coalición de Aprendizaje Temprano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local </w:t>
            </w:r>
            <w:r w:rsidRPr="0047331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 hablar con uno de los miembros del equipo de servicios para proveedores. Para obtener su información de contacto, llame al número gratuito de la División al uno-ocho-seis-seis, tres-cinco-siete, tres-dos-tres-nueve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  <w:bookmarkEnd w:id="5"/>
          <w:p w14:paraId="0D117570" w14:textId="77777777" w:rsidR="001E5225" w:rsidRPr="00195453" w:rsidRDefault="001E5225" w:rsidP="00FE1C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F17EC3" w14:textId="2A480713" w:rsidR="001E5225" w:rsidRPr="00FE1C1E" w:rsidRDefault="001E5225" w:rsidP="00FE1C1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bookmarkStart w:id="6" w:name="_Hlk137649261"/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CCR&amp;R está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listo para ayudarle a promover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su negocio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y </w:t>
            </w:r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tener éxito en la prestación de servicios de calidad para niños y </w:t>
            </w:r>
            <w:bookmarkStart w:id="7" w:name="_Hlk137649160"/>
            <w:bookmarkEnd w:id="1"/>
            <w:r w:rsidRPr="0082683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familias</w:t>
            </w:r>
            <w:r w:rsidRPr="0019545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. </w:t>
            </w:r>
            <w:bookmarkEnd w:id="7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 asistencia está disponible en español.</w:t>
            </w:r>
          </w:p>
          <w:bookmarkEnd w:id="6"/>
          <w:p w14:paraId="59EEB54F" w14:textId="77777777" w:rsidR="001E5225" w:rsidRPr="00DA541F" w:rsidRDefault="001E5225" w:rsidP="005A7550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</w:p>
          <w:p w14:paraId="2F354C76" w14:textId="03E0222A" w:rsidR="001E5225" w:rsidRPr="002E0433" w:rsidRDefault="001E5225" w:rsidP="000C6934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El proyecto descrito fue apoyado por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la Iniciativa de la Subvención para el</w:t>
            </w: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 Desarrollo Preescolar desde el Nacimiento hasta los Cinco Años (PDG B-5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, por sus siglas en inglés</w:t>
            </w: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) Número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Otorgado </w:t>
            </w: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90TP0068-03-00 de la Oficina de Cuidado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de Niños</w:t>
            </w: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, Administración para Niños y Familias, Departamento de Salud y Servicios Humanos de EE. UU</w:t>
            </w:r>
            <w:r w:rsidRPr="006512FC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. </w:t>
            </w:r>
          </w:p>
        </w:tc>
      </w:tr>
    </w:tbl>
    <w:p w14:paraId="050F00A4" w14:textId="77777777" w:rsidR="000B3413" w:rsidRDefault="000B3413" w:rsidP="000B3413"/>
    <w:p w14:paraId="40361BD4" w14:textId="456CD3E5" w:rsidR="00002049" w:rsidRPr="00D418FA" w:rsidRDefault="00002049" w:rsidP="00002049">
      <w:pPr>
        <w:rPr>
          <w:noProof/>
          <w:sz w:val="22"/>
          <w:szCs w:val="22"/>
        </w:rPr>
      </w:pPr>
    </w:p>
    <w:sectPr w:rsidR="00002049" w:rsidRPr="00D418FA" w:rsidSect="00FA12D8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FE47" w14:textId="77777777" w:rsidR="004E0BBA" w:rsidRDefault="004E0BBA" w:rsidP="00FA12D8">
      <w:r>
        <w:separator/>
      </w:r>
    </w:p>
  </w:endnote>
  <w:endnote w:type="continuationSeparator" w:id="0">
    <w:p w14:paraId="1BEFD8D2" w14:textId="77777777" w:rsidR="004E0BBA" w:rsidRDefault="004E0BBA" w:rsidP="00FA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9423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590E04" w14:textId="08E79AA7" w:rsidR="00FA12D8" w:rsidRDefault="00FA12D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10F0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10F0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3AE4B6" w14:textId="77777777" w:rsidR="00FA12D8" w:rsidRDefault="00FA1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3EDD" w14:textId="77777777" w:rsidR="004E0BBA" w:rsidRDefault="004E0BBA" w:rsidP="00FA12D8">
      <w:r>
        <w:separator/>
      </w:r>
    </w:p>
  </w:footnote>
  <w:footnote w:type="continuationSeparator" w:id="0">
    <w:p w14:paraId="7A9501B4" w14:textId="77777777" w:rsidR="004E0BBA" w:rsidRDefault="004E0BBA" w:rsidP="00FA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7F5"/>
    <w:multiLevelType w:val="hybridMultilevel"/>
    <w:tmpl w:val="ACA23620"/>
    <w:lvl w:ilvl="0" w:tplc="04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27662A09"/>
    <w:multiLevelType w:val="hybridMultilevel"/>
    <w:tmpl w:val="9416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61689"/>
    <w:multiLevelType w:val="hybridMultilevel"/>
    <w:tmpl w:val="857C6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C6BFF"/>
    <w:multiLevelType w:val="hybridMultilevel"/>
    <w:tmpl w:val="56F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B6B71"/>
    <w:multiLevelType w:val="hybridMultilevel"/>
    <w:tmpl w:val="59F0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249202">
    <w:abstractNumId w:val="0"/>
  </w:num>
  <w:num w:numId="2" w16cid:durableId="1752703516">
    <w:abstractNumId w:val="1"/>
  </w:num>
  <w:num w:numId="3" w16cid:durableId="511380417">
    <w:abstractNumId w:val="3"/>
  </w:num>
  <w:num w:numId="4" w16cid:durableId="460998211">
    <w:abstractNumId w:val="4"/>
  </w:num>
  <w:num w:numId="5" w16cid:durableId="1353341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7D"/>
    <w:rsid w:val="0000180E"/>
    <w:rsid w:val="00002049"/>
    <w:rsid w:val="00003488"/>
    <w:rsid w:val="000129D0"/>
    <w:rsid w:val="000217A8"/>
    <w:rsid w:val="00022EFE"/>
    <w:rsid w:val="00024459"/>
    <w:rsid w:val="000322F8"/>
    <w:rsid w:val="0003540F"/>
    <w:rsid w:val="000375EE"/>
    <w:rsid w:val="00042436"/>
    <w:rsid w:val="00043146"/>
    <w:rsid w:val="00075485"/>
    <w:rsid w:val="00081019"/>
    <w:rsid w:val="00082E95"/>
    <w:rsid w:val="000830D1"/>
    <w:rsid w:val="0009528F"/>
    <w:rsid w:val="000A5621"/>
    <w:rsid w:val="000B3413"/>
    <w:rsid w:val="000C31B1"/>
    <w:rsid w:val="000C6934"/>
    <w:rsid w:val="000D36EE"/>
    <w:rsid w:val="000D79FF"/>
    <w:rsid w:val="000E213B"/>
    <w:rsid w:val="000F33AD"/>
    <w:rsid w:val="000F3906"/>
    <w:rsid w:val="000F54A9"/>
    <w:rsid w:val="000F71CC"/>
    <w:rsid w:val="00101B80"/>
    <w:rsid w:val="00105F33"/>
    <w:rsid w:val="00106651"/>
    <w:rsid w:val="001159EC"/>
    <w:rsid w:val="00124803"/>
    <w:rsid w:val="00126B11"/>
    <w:rsid w:val="00127DDA"/>
    <w:rsid w:val="00140873"/>
    <w:rsid w:val="00142437"/>
    <w:rsid w:val="001452E2"/>
    <w:rsid w:val="00155AC1"/>
    <w:rsid w:val="00163230"/>
    <w:rsid w:val="00164E85"/>
    <w:rsid w:val="001719EF"/>
    <w:rsid w:val="00181E91"/>
    <w:rsid w:val="001869B1"/>
    <w:rsid w:val="00195453"/>
    <w:rsid w:val="001971E9"/>
    <w:rsid w:val="001A6D0E"/>
    <w:rsid w:val="001C0C15"/>
    <w:rsid w:val="001C271F"/>
    <w:rsid w:val="001C302C"/>
    <w:rsid w:val="001C55E2"/>
    <w:rsid w:val="001D20E2"/>
    <w:rsid w:val="001D492B"/>
    <w:rsid w:val="001E5225"/>
    <w:rsid w:val="001E6E2D"/>
    <w:rsid w:val="001F21AB"/>
    <w:rsid w:val="001F6CDA"/>
    <w:rsid w:val="0020272B"/>
    <w:rsid w:val="00206776"/>
    <w:rsid w:val="00211692"/>
    <w:rsid w:val="00213A86"/>
    <w:rsid w:val="00220E55"/>
    <w:rsid w:val="002236B1"/>
    <w:rsid w:val="00231E8C"/>
    <w:rsid w:val="00236935"/>
    <w:rsid w:val="00240F0E"/>
    <w:rsid w:val="0024537F"/>
    <w:rsid w:val="0025306D"/>
    <w:rsid w:val="00254DB9"/>
    <w:rsid w:val="00257678"/>
    <w:rsid w:val="002648F6"/>
    <w:rsid w:val="00271AF7"/>
    <w:rsid w:val="00277C2C"/>
    <w:rsid w:val="002864AA"/>
    <w:rsid w:val="0029127D"/>
    <w:rsid w:val="00291F40"/>
    <w:rsid w:val="00292C68"/>
    <w:rsid w:val="0029357E"/>
    <w:rsid w:val="002A349C"/>
    <w:rsid w:val="002A6E2D"/>
    <w:rsid w:val="002B54CC"/>
    <w:rsid w:val="002B6167"/>
    <w:rsid w:val="002D1AC4"/>
    <w:rsid w:val="002E0433"/>
    <w:rsid w:val="002E2548"/>
    <w:rsid w:val="002E444D"/>
    <w:rsid w:val="002E7998"/>
    <w:rsid w:val="002F47E0"/>
    <w:rsid w:val="003008A9"/>
    <w:rsid w:val="00302FE5"/>
    <w:rsid w:val="00304071"/>
    <w:rsid w:val="003050E1"/>
    <w:rsid w:val="00307FA1"/>
    <w:rsid w:val="00312FD2"/>
    <w:rsid w:val="003144EF"/>
    <w:rsid w:val="00314D77"/>
    <w:rsid w:val="003155AD"/>
    <w:rsid w:val="00324329"/>
    <w:rsid w:val="00326615"/>
    <w:rsid w:val="003305F4"/>
    <w:rsid w:val="00340C15"/>
    <w:rsid w:val="00347E25"/>
    <w:rsid w:val="00354F4E"/>
    <w:rsid w:val="00355FD6"/>
    <w:rsid w:val="003644F9"/>
    <w:rsid w:val="00367CCB"/>
    <w:rsid w:val="00367F88"/>
    <w:rsid w:val="00370EF5"/>
    <w:rsid w:val="0038743F"/>
    <w:rsid w:val="00395562"/>
    <w:rsid w:val="003973C1"/>
    <w:rsid w:val="00397C30"/>
    <w:rsid w:val="003A0A21"/>
    <w:rsid w:val="003A2B1F"/>
    <w:rsid w:val="003A4EA3"/>
    <w:rsid w:val="003A5416"/>
    <w:rsid w:val="003B04CF"/>
    <w:rsid w:val="003B3552"/>
    <w:rsid w:val="003B4C90"/>
    <w:rsid w:val="003D2844"/>
    <w:rsid w:val="003E1BBB"/>
    <w:rsid w:val="003E4A87"/>
    <w:rsid w:val="003E535A"/>
    <w:rsid w:val="003F2415"/>
    <w:rsid w:val="003F7341"/>
    <w:rsid w:val="00421366"/>
    <w:rsid w:val="00425FDC"/>
    <w:rsid w:val="00430B3F"/>
    <w:rsid w:val="00442CEF"/>
    <w:rsid w:val="004505BB"/>
    <w:rsid w:val="00455013"/>
    <w:rsid w:val="004570E1"/>
    <w:rsid w:val="00460166"/>
    <w:rsid w:val="00466AEE"/>
    <w:rsid w:val="00473316"/>
    <w:rsid w:val="00473698"/>
    <w:rsid w:val="0047667C"/>
    <w:rsid w:val="0047714D"/>
    <w:rsid w:val="00482F0C"/>
    <w:rsid w:val="00483806"/>
    <w:rsid w:val="004855C1"/>
    <w:rsid w:val="004C5A94"/>
    <w:rsid w:val="004C6085"/>
    <w:rsid w:val="004D1ACF"/>
    <w:rsid w:val="004E04B8"/>
    <w:rsid w:val="004E0656"/>
    <w:rsid w:val="004E0BBA"/>
    <w:rsid w:val="004E0C40"/>
    <w:rsid w:val="004E5B0D"/>
    <w:rsid w:val="005052DA"/>
    <w:rsid w:val="00505D57"/>
    <w:rsid w:val="00512DFF"/>
    <w:rsid w:val="005153EF"/>
    <w:rsid w:val="00517BDC"/>
    <w:rsid w:val="00517D64"/>
    <w:rsid w:val="0052264B"/>
    <w:rsid w:val="005234F0"/>
    <w:rsid w:val="0052766F"/>
    <w:rsid w:val="00527C3F"/>
    <w:rsid w:val="00530100"/>
    <w:rsid w:val="00536F21"/>
    <w:rsid w:val="00540A4B"/>
    <w:rsid w:val="00547289"/>
    <w:rsid w:val="00553500"/>
    <w:rsid w:val="00555265"/>
    <w:rsid w:val="00560651"/>
    <w:rsid w:val="00562D97"/>
    <w:rsid w:val="00566FFA"/>
    <w:rsid w:val="0056773B"/>
    <w:rsid w:val="00576549"/>
    <w:rsid w:val="005772E6"/>
    <w:rsid w:val="00595D93"/>
    <w:rsid w:val="005978E8"/>
    <w:rsid w:val="005A125E"/>
    <w:rsid w:val="005A204C"/>
    <w:rsid w:val="005A3E6B"/>
    <w:rsid w:val="005A60A4"/>
    <w:rsid w:val="005A7550"/>
    <w:rsid w:val="005C3589"/>
    <w:rsid w:val="005C509E"/>
    <w:rsid w:val="005D2796"/>
    <w:rsid w:val="005E1680"/>
    <w:rsid w:val="005E211C"/>
    <w:rsid w:val="005E22DB"/>
    <w:rsid w:val="005F66FD"/>
    <w:rsid w:val="00602273"/>
    <w:rsid w:val="00605010"/>
    <w:rsid w:val="006104DD"/>
    <w:rsid w:val="00622D4B"/>
    <w:rsid w:val="00643D83"/>
    <w:rsid w:val="00651020"/>
    <w:rsid w:val="006512FC"/>
    <w:rsid w:val="00655C48"/>
    <w:rsid w:val="00662142"/>
    <w:rsid w:val="00665F76"/>
    <w:rsid w:val="00666699"/>
    <w:rsid w:val="00675202"/>
    <w:rsid w:val="006817BD"/>
    <w:rsid w:val="006A22C5"/>
    <w:rsid w:val="006A3C2C"/>
    <w:rsid w:val="006A6036"/>
    <w:rsid w:val="006A7667"/>
    <w:rsid w:val="006B0C78"/>
    <w:rsid w:val="006B7573"/>
    <w:rsid w:val="006B7CBC"/>
    <w:rsid w:val="006C3FEC"/>
    <w:rsid w:val="006C4E58"/>
    <w:rsid w:val="006C7161"/>
    <w:rsid w:val="006C7682"/>
    <w:rsid w:val="006E003F"/>
    <w:rsid w:val="006E063C"/>
    <w:rsid w:val="006E232A"/>
    <w:rsid w:val="006E3BEE"/>
    <w:rsid w:val="006E4F61"/>
    <w:rsid w:val="006F1A58"/>
    <w:rsid w:val="006F5AB8"/>
    <w:rsid w:val="0070121F"/>
    <w:rsid w:val="0073080D"/>
    <w:rsid w:val="007448AB"/>
    <w:rsid w:val="00751C64"/>
    <w:rsid w:val="00757259"/>
    <w:rsid w:val="0076527E"/>
    <w:rsid w:val="00765D18"/>
    <w:rsid w:val="0076684B"/>
    <w:rsid w:val="0077040A"/>
    <w:rsid w:val="00771430"/>
    <w:rsid w:val="00772E19"/>
    <w:rsid w:val="00774EA7"/>
    <w:rsid w:val="007750DA"/>
    <w:rsid w:val="00780616"/>
    <w:rsid w:val="00781078"/>
    <w:rsid w:val="00791137"/>
    <w:rsid w:val="007953C1"/>
    <w:rsid w:val="00797DA8"/>
    <w:rsid w:val="007A53DA"/>
    <w:rsid w:val="007B4487"/>
    <w:rsid w:val="007B7E4F"/>
    <w:rsid w:val="007C27BD"/>
    <w:rsid w:val="007C433A"/>
    <w:rsid w:val="007C78D5"/>
    <w:rsid w:val="007D1AD5"/>
    <w:rsid w:val="007D521F"/>
    <w:rsid w:val="007F4911"/>
    <w:rsid w:val="007F5F5E"/>
    <w:rsid w:val="00804B36"/>
    <w:rsid w:val="00806441"/>
    <w:rsid w:val="008242B7"/>
    <w:rsid w:val="008372EE"/>
    <w:rsid w:val="00843B13"/>
    <w:rsid w:val="00854623"/>
    <w:rsid w:val="00854807"/>
    <w:rsid w:val="0085519E"/>
    <w:rsid w:val="00872302"/>
    <w:rsid w:val="00875CD4"/>
    <w:rsid w:val="00881E5D"/>
    <w:rsid w:val="0088482F"/>
    <w:rsid w:val="008A0313"/>
    <w:rsid w:val="008A032B"/>
    <w:rsid w:val="008A3B95"/>
    <w:rsid w:val="008A50CB"/>
    <w:rsid w:val="008B085B"/>
    <w:rsid w:val="008C168A"/>
    <w:rsid w:val="008C2CD9"/>
    <w:rsid w:val="008C7993"/>
    <w:rsid w:val="008D09B5"/>
    <w:rsid w:val="008E42DB"/>
    <w:rsid w:val="009030FD"/>
    <w:rsid w:val="009040AA"/>
    <w:rsid w:val="00911B9B"/>
    <w:rsid w:val="00922BFE"/>
    <w:rsid w:val="00930FE2"/>
    <w:rsid w:val="00934AB9"/>
    <w:rsid w:val="00937785"/>
    <w:rsid w:val="00941173"/>
    <w:rsid w:val="009411DA"/>
    <w:rsid w:val="00942511"/>
    <w:rsid w:val="00944A59"/>
    <w:rsid w:val="00944ED8"/>
    <w:rsid w:val="00945CE4"/>
    <w:rsid w:val="0094680C"/>
    <w:rsid w:val="009473D3"/>
    <w:rsid w:val="009527C7"/>
    <w:rsid w:val="00955BF8"/>
    <w:rsid w:val="00956D6A"/>
    <w:rsid w:val="009618B2"/>
    <w:rsid w:val="00964011"/>
    <w:rsid w:val="0097698B"/>
    <w:rsid w:val="00980E17"/>
    <w:rsid w:val="009832AA"/>
    <w:rsid w:val="009835E9"/>
    <w:rsid w:val="0098478C"/>
    <w:rsid w:val="0098735A"/>
    <w:rsid w:val="009879A4"/>
    <w:rsid w:val="009928AD"/>
    <w:rsid w:val="00994FDC"/>
    <w:rsid w:val="00995577"/>
    <w:rsid w:val="009A0B78"/>
    <w:rsid w:val="009A5C86"/>
    <w:rsid w:val="009A686E"/>
    <w:rsid w:val="009B0E08"/>
    <w:rsid w:val="009B16C1"/>
    <w:rsid w:val="009C51CB"/>
    <w:rsid w:val="009C7899"/>
    <w:rsid w:val="009D7512"/>
    <w:rsid w:val="009E4D94"/>
    <w:rsid w:val="009E5355"/>
    <w:rsid w:val="009E7A3F"/>
    <w:rsid w:val="00A07700"/>
    <w:rsid w:val="00A1128B"/>
    <w:rsid w:val="00A123D5"/>
    <w:rsid w:val="00A277A8"/>
    <w:rsid w:val="00A42100"/>
    <w:rsid w:val="00A45911"/>
    <w:rsid w:val="00A6188D"/>
    <w:rsid w:val="00A73E62"/>
    <w:rsid w:val="00A809CE"/>
    <w:rsid w:val="00A82E0A"/>
    <w:rsid w:val="00A842E0"/>
    <w:rsid w:val="00A9537A"/>
    <w:rsid w:val="00A97C8D"/>
    <w:rsid w:val="00AB399F"/>
    <w:rsid w:val="00AC0271"/>
    <w:rsid w:val="00AD762A"/>
    <w:rsid w:val="00AE0729"/>
    <w:rsid w:val="00AE26D4"/>
    <w:rsid w:val="00AE6DBC"/>
    <w:rsid w:val="00AF23CE"/>
    <w:rsid w:val="00B02A9E"/>
    <w:rsid w:val="00B04D06"/>
    <w:rsid w:val="00B1139B"/>
    <w:rsid w:val="00B12106"/>
    <w:rsid w:val="00B15A13"/>
    <w:rsid w:val="00B16E2A"/>
    <w:rsid w:val="00B230BB"/>
    <w:rsid w:val="00B32C3C"/>
    <w:rsid w:val="00B36ABC"/>
    <w:rsid w:val="00B47399"/>
    <w:rsid w:val="00B47D3F"/>
    <w:rsid w:val="00B61068"/>
    <w:rsid w:val="00B66EC2"/>
    <w:rsid w:val="00B70165"/>
    <w:rsid w:val="00B71BF9"/>
    <w:rsid w:val="00B7257B"/>
    <w:rsid w:val="00B74569"/>
    <w:rsid w:val="00B75225"/>
    <w:rsid w:val="00B80D8A"/>
    <w:rsid w:val="00B82BD0"/>
    <w:rsid w:val="00B918A2"/>
    <w:rsid w:val="00B9486B"/>
    <w:rsid w:val="00BA03FC"/>
    <w:rsid w:val="00BA607A"/>
    <w:rsid w:val="00BB09D4"/>
    <w:rsid w:val="00BD675A"/>
    <w:rsid w:val="00BF10B3"/>
    <w:rsid w:val="00BF38B6"/>
    <w:rsid w:val="00BF778B"/>
    <w:rsid w:val="00C02249"/>
    <w:rsid w:val="00C022EE"/>
    <w:rsid w:val="00C07D7F"/>
    <w:rsid w:val="00C10DAD"/>
    <w:rsid w:val="00C21C80"/>
    <w:rsid w:val="00C21F62"/>
    <w:rsid w:val="00C30151"/>
    <w:rsid w:val="00C316ED"/>
    <w:rsid w:val="00C32519"/>
    <w:rsid w:val="00C3415F"/>
    <w:rsid w:val="00C3566F"/>
    <w:rsid w:val="00C36DC7"/>
    <w:rsid w:val="00C5302A"/>
    <w:rsid w:val="00C56492"/>
    <w:rsid w:val="00C5768E"/>
    <w:rsid w:val="00C60848"/>
    <w:rsid w:val="00C610E3"/>
    <w:rsid w:val="00C63EF4"/>
    <w:rsid w:val="00C706BE"/>
    <w:rsid w:val="00C81F4F"/>
    <w:rsid w:val="00C82E30"/>
    <w:rsid w:val="00C87CDA"/>
    <w:rsid w:val="00CA1BF4"/>
    <w:rsid w:val="00CB1592"/>
    <w:rsid w:val="00CB7456"/>
    <w:rsid w:val="00CC5BF0"/>
    <w:rsid w:val="00CC66C1"/>
    <w:rsid w:val="00CD10D8"/>
    <w:rsid w:val="00CE72F8"/>
    <w:rsid w:val="00D01BF1"/>
    <w:rsid w:val="00D0223E"/>
    <w:rsid w:val="00D02971"/>
    <w:rsid w:val="00D04FA0"/>
    <w:rsid w:val="00D07CFC"/>
    <w:rsid w:val="00D166E9"/>
    <w:rsid w:val="00D16ED7"/>
    <w:rsid w:val="00D2002A"/>
    <w:rsid w:val="00D27246"/>
    <w:rsid w:val="00D273D0"/>
    <w:rsid w:val="00D372BE"/>
    <w:rsid w:val="00D418FA"/>
    <w:rsid w:val="00D44F6F"/>
    <w:rsid w:val="00D51DA2"/>
    <w:rsid w:val="00D54623"/>
    <w:rsid w:val="00D6166C"/>
    <w:rsid w:val="00D6687B"/>
    <w:rsid w:val="00D711B5"/>
    <w:rsid w:val="00D71AB9"/>
    <w:rsid w:val="00D73F98"/>
    <w:rsid w:val="00D82FD3"/>
    <w:rsid w:val="00D84455"/>
    <w:rsid w:val="00D85532"/>
    <w:rsid w:val="00D92E74"/>
    <w:rsid w:val="00DA0B2A"/>
    <w:rsid w:val="00DA1EED"/>
    <w:rsid w:val="00DA3700"/>
    <w:rsid w:val="00DA6306"/>
    <w:rsid w:val="00DB649F"/>
    <w:rsid w:val="00DC009B"/>
    <w:rsid w:val="00DD3068"/>
    <w:rsid w:val="00DD49C7"/>
    <w:rsid w:val="00E052AC"/>
    <w:rsid w:val="00E07A2E"/>
    <w:rsid w:val="00E11BE0"/>
    <w:rsid w:val="00E15559"/>
    <w:rsid w:val="00E20F4C"/>
    <w:rsid w:val="00E2222F"/>
    <w:rsid w:val="00E24119"/>
    <w:rsid w:val="00E24661"/>
    <w:rsid w:val="00E26383"/>
    <w:rsid w:val="00E263B2"/>
    <w:rsid w:val="00E26EDC"/>
    <w:rsid w:val="00E2756F"/>
    <w:rsid w:val="00E32859"/>
    <w:rsid w:val="00E36CBE"/>
    <w:rsid w:val="00E40F7A"/>
    <w:rsid w:val="00E41479"/>
    <w:rsid w:val="00E4218A"/>
    <w:rsid w:val="00E43BD1"/>
    <w:rsid w:val="00E50DB0"/>
    <w:rsid w:val="00E5224F"/>
    <w:rsid w:val="00E67911"/>
    <w:rsid w:val="00E8414C"/>
    <w:rsid w:val="00E86D96"/>
    <w:rsid w:val="00E94A69"/>
    <w:rsid w:val="00EA0FE8"/>
    <w:rsid w:val="00EA1363"/>
    <w:rsid w:val="00EA28B9"/>
    <w:rsid w:val="00EA7832"/>
    <w:rsid w:val="00EB6BA9"/>
    <w:rsid w:val="00EB6C28"/>
    <w:rsid w:val="00EC0D53"/>
    <w:rsid w:val="00EC1D9E"/>
    <w:rsid w:val="00ED430C"/>
    <w:rsid w:val="00ED76E0"/>
    <w:rsid w:val="00EE4FD9"/>
    <w:rsid w:val="00F0124A"/>
    <w:rsid w:val="00F10F0D"/>
    <w:rsid w:val="00F142C6"/>
    <w:rsid w:val="00F25331"/>
    <w:rsid w:val="00F26EB4"/>
    <w:rsid w:val="00F332DF"/>
    <w:rsid w:val="00F40639"/>
    <w:rsid w:val="00F44CBC"/>
    <w:rsid w:val="00F56EED"/>
    <w:rsid w:val="00F60559"/>
    <w:rsid w:val="00F60807"/>
    <w:rsid w:val="00F63637"/>
    <w:rsid w:val="00F65157"/>
    <w:rsid w:val="00F711B0"/>
    <w:rsid w:val="00F7253F"/>
    <w:rsid w:val="00F7395C"/>
    <w:rsid w:val="00F768AB"/>
    <w:rsid w:val="00F7724C"/>
    <w:rsid w:val="00F77B72"/>
    <w:rsid w:val="00F77BD7"/>
    <w:rsid w:val="00F77E57"/>
    <w:rsid w:val="00F923F5"/>
    <w:rsid w:val="00F96257"/>
    <w:rsid w:val="00F96F1C"/>
    <w:rsid w:val="00FA12D8"/>
    <w:rsid w:val="00FB3A90"/>
    <w:rsid w:val="00FB78AE"/>
    <w:rsid w:val="00FC25A9"/>
    <w:rsid w:val="00FC4FE3"/>
    <w:rsid w:val="00FD2635"/>
    <w:rsid w:val="00FD279D"/>
    <w:rsid w:val="00FD2ABB"/>
    <w:rsid w:val="00FD7727"/>
    <w:rsid w:val="00FE1C1E"/>
    <w:rsid w:val="00FE33E8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001A"/>
  <w15:chartTrackingRefBased/>
  <w15:docId w15:val="{FBC35763-05AA-1743-8538-BA161C4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7B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2F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CEF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EF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E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479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64AA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2864AA"/>
    <w:rPr>
      <w:rFonts w:ascii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783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50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785"/>
    <w:rPr>
      <w:rFonts w:ascii="Times New Roman" w:eastAsia="Times New Roman" w:hAnsi="Times New Roman" w:cs="Times New Roma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0204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C2C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2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1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2D8"/>
    <w:rPr>
      <w:rFonts w:ascii="Times New Roman" w:eastAsia="Times New Roman" w:hAnsi="Times New Roman" w:cs="Times New Roma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730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A81471-70E6-4B2D-A248-08426718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Gibbens</dc:creator>
  <cp:keywords/>
  <dc:description/>
  <cp:lastModifiedBy>Audia Bradwell</cp:lastModifiedBy>
  <cp:revision>41</cp:revision>
  <cp:lastPrinted>2019-10-09T15:47:00Z</cp:lastPrinted>
  <dcterms:created xsi:type="dcterms:W3CDTF">2023-06-14T18:21:00Z</dcterms:created>
  <dcterms:modified xsi:type="dcterms:W3CDTF">2024-01-12T21:50:00Z</dcterms:modified>
</cp:coreProperties>
</file>