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112B0" w14:textId="00446480" w:rsidR="00A77151" w:rsidRPr="00D94CB6" w:rsidRDefault="39146E0D" w:rsidP="39146E0D">
      <w:pPr>
        <w:rPr>
          <w:rFonts w:ascii="Times New Roman" w:hAnsi="Times New Roman" w:cs="Times New Roman"/>
          <w:b/>
          <w:bCs/>
          <w:sz w:val="24"/>
        </w:rPr>
      </w:pPr>
      <w:r w:rsidRPr="00D94CB6">
        <w:rPr>
          <w:rFonts w:ascii="Times New Roman" w:hAnsi="Times New Roman" w:cs="Times New Roman"/>
          <w:b/>
          <w:bCs/>
          <w:sz w:val="24"/>
        </w:rPr>
        <w:t>OVERVIEW OF LABOR MARKET ALIGNMENT REQUIREMENTS AND STANDARDS</w:t>
      </w:r>
    </w:p>
    <w:p w14:paraId="0D731061" w14:textId="77777777" w:rsidR="005E15EC" w:rsidRPr="00051BFA" w:rsidRDefault="005E15EC" w:rsidP="005E15EC">
      <w:pPr>
        <w:rPr>
          <w:rFonts w:ascii="Times New Roman" w:hAnsi="Times New Roman" w:cs="Times New Roman"/>
          <w:sz w:val="24"/>
          <w:szCs w:val="24"/>
        </w:rPr>
      </w:pPr>
      <w:r w:rsidRPr="00051BFA">
        <w:rPr>
          <w:rFonts w:ascii="Times New Roman" w:hAnsi="Times New Roman" w:cs="Times New Roman"/>
          <w:sz w:val="24"/>
          <w:szCs w:val="24"/>
        </w:rPr>
        <w:t xml:space="preserve">As part of the CLNA, all </w:t>
      </w:r>
      <w:r>
        <w:rPr>
          <w:rFonts w:ascii="Times New Roman" w:hAnsi="Times New Roman" w:cs="Times New Roman"/>
          <w:sz w:val="24"/>
          <w:szCs w:val="24"/>
        </w:rPr>
        <w:t xml:space="preserve">eligible recipients funded through </w:t>
      </w:r>
      <w:r w:rsidRPr="00051BFA">
        <w:rPr>
          <w:rFonts w:ascii="Times New Roman" w:hAnsi="Times New Roman" w:cs="Times New Roman"/>
          <w:sz w:val="24"/>
          <w:szCs w:val="24"/>
        </w:rPr>
        <w:t xml:space="preserve">Perkins V must assess alignment of their programs with local labor market needs.  With the submission of a four-year plan beginning with the 2020-21 fiscal year, </w:t>
      </w:r>
      <w:r>
        <w:rPr>
          <w:rFonts w:ascii="Times New Roman" w:hAnsi="Times New Roman" w:cs="Times New Roman"/>
          <w:sz w:val="24"/>
          <w:szCs w:val="24"/>
        </w:rPr>
        <w:t>recipients</w:t>
      </w:r>
      <w:r w:rsidRPr="00051BFA">
        <w:rPr>
          <w:rFonts w:ascii="Times New Roman" w:hAnsi="Times New Roman" w:cs="Times New Roman"/>
          <w:sz w:val="24"/>
          <w:szCs w:val="24"/>
        </w:rPr>
        <w:t xml:space="preserve"> must review and document this alignment.</w:t>
      </w:r>
    </w:p>
    <w:p w14:paraId="124818C8" w14:textId="77777777" w:rsidR="005E15EC" w:rsidRPr="00051BFA" w:rsidRDefault="005E15EC" w:rsidP="005E15EC">
      <w:pPr>
        <w:rPr>
          <w:rFonts w:ascii="Times New Roman" w:hAnsi="Times New Roman" w:cs="Times New Roman"/>
          <w:sz w:val="24"/>
          <w:szCs w:val="24"/>
        </w:rPr>
      </w:pPr>
      <w:r w:rsidRPr="00051BFA">
        <w:rPr>
          <w:rFonts w:ascii="Times New Roman" w:hAnsi="Times New Roman" w:cs="Times New Roman"/>
          <w:sz w:val="24"/>
          <w:szCs w:val="24"/>
        </w:rPr>
        <w:t xml:space="preserve">As part of the labor market alignment, </w:t>
      </w:r>
      <w:r>
        <w:rPr>
          <w:rFonts w:ascii="Times New Roman" w:hAnsi="Times New Roman" w:cs="Times New Roman"/>
          <w:sz w:val="24"/>
          <w:szCs w:val="24"/>
        </w:rPr>
        <w:t>eligible recipients</w:t>
      </w:r>
      <w:r w:rsidRPr="00051BFA">
        <w:rPr>
          <w:rFonts w:ascii="Times New Roman" w:hAnsi="Times New Roman" w:cs="Times New Roman"/>
          <w:sz w:val="24"/>
          <w:szCs w:val="24"/>
        </w:rPr>
        <w:t xml:space="preserve"> must do the following:</w:t>
      </w:r>
    </w:p>
    <w:p w14:paraId="72EB6554" w14:textId="77777777" w:rsidR="005E15EC" w:rsidRPr="00051BFA" w:rsidRDefault="005E15EC" w:rsidP="005E15EC">
      <w:pPr>
        <w:pStyle w:val="ListParagraph"/>
        <w:numPr>
          <w:ilvl w:val="0"/>
          <w:numId w:val="4"/>
        </w:numPr>
        <w:rPr>
          <w:rFonts w:ascii="Times New Roman" w:hAnsi="Times New Roman" w:cs="Times New Roman"/>
          <w:sz w:val="24"/>
          <w:szCs w:val="24"/>
        </w:rPr>
      </w:pPr>
      <w:r w:rsidRPr="00051BFA">
        <w:rPr>
          <w:rFonts w:ascii="Times New Roman" w:hAnsi="Times New Roman" w:cs="Times New Roman"/>
          <w:sz w:val="24"/>
          <w:szCs w:val="24"/>
        </w:rPr>
        <w:t xml:space="preserve">Evaluate the current labor market needs in comparison to their current program offerings.  </w:t>
      </w:r>
      <w:r>
        <w:rPr>
          <w:rFonts w:ascii="Times New Roman" w:hAnsi="Times New Roman" w:cs="Times New Roman"/>
          <w:sz w:val="24"/>
          <w:szCs w:val="24"/>
        </w:rPr>
        <w:t>Recipients</w:t>
      </w:r>
      <w:r w:rsidRPr="00051BFA">
        <w:rPr>
          <w:rFonts w:ascii="Times New Roman" w:hAnsi="Times New Roman" w:cs="Times New Roman"/>
          <w:sz w:val="24"/>
          <w:szCs w:val="24"/>
        </w:rPr>
        <w:t xml:space="preserve"> should determine whether there are gaps in the local labor market needs that are not currently adequately addressed in their region. This evaluation may serve to identify additional program offerings for future planning and development.</w:t>
      </w:r>
    </w:p>
    <w:p w14:paraId="4B9B3BF4" w14:textId="77777777" w:rsidR="005E15EC" w:rsidRPr="00051BFA" w:rsidRDefault="005E15EC" w:rsidP="005E15EC">
      <w:pPr>
        <w:pStyle w:val="ListParagraph"/>
        <w:numPr>
          <w:ilvl w:val="0"/>
          <w:numId w:val="4"/>
        </w:numPr>
        <w:rPr>
          <w:rFonts w:ascii="Times New Roman" w:hAnsi="Times New Roman" w:cs="Times New Roman"/>
          <w:sz w:val="24"/>
          <w:szCs w:val="24"/>
        </w:rPr>
      </w:pPr>
      <w:r w:rsidRPr="00051BFA">
        <w:rPr>
          <w:rFonts w:ascii="Times New Roman" w:hAnsi="Times New Roman" w:cs="Times New Roman"/>
          <w:sz w:val="24"/>
          <w:szCs w:val="24"/>
        </w:rPr>
        <w:t xml:space="preserve">Evaluate all planned 2020-21 planned program offerings to determine their alignment with local labor market needs.  Any program that is not aligned will not be eligible for the use of Perkins V funds. </w:t>
      </w:r>
      <w:r>
        <w:rPr>
          <w:rFonts w:ascii="Times New Roman" w:hAnsi="Times New Roman" w:cs="Times New Roman"/>
          <w:sz w:val="24"/>
          <w:szCs w:val="24"/>
        </w:rPr>
        <w:t>Recipients</w:t>
      </w:r>
      <w:r w:rsidRPr="00051BFA">
        <w:rPr>
          <w:rFonts w:ascii="Times New Roman" w:hAnsi="Times New Roman" w:cs="Times New Roman"/>
          <w:sz w:val="24"/>
          <w:szCs w:val="24"/>
        </w:rPr>
        <w:t xml:space="preserve"> will have to maintain local documentation on this alignment process.  </w:t>
      </w:r>
    </w:p>
    <w:p w14:paraId="1D57E3F9" w14:textId="77777777" w:rsidR="005E15EC" w:rsidRPr="00051BFA" w:rsidRDefault="005E15EC" w:rsidP="005E15EC">
      <w:pPr>
        <w:pStyle w:val="ListParagraph"/>
        <w:numPr>
          <w:ilvl w:val="0"/>
          <w:numId w:val="4"/>
        </w:numPr>
        <w:rPr>
          <w:rFonts w:ascii="Times New Roman" w:hAnsi="Times New Roman" w:cs="Times New Roman"/>
          <w:sz w:val="24"/>
          <w:szCs w:val="24"/>
        </w:rPr>
      </w:pPr>
      <w:r w:rsidRPr="00051BFA">
        <w:rPr>
          <w:rFonts w:ascii="Times New Roman" w:hAnsi="Times New Roman" w:cs="Times New Roman"/>
          <w:sz w:val="24"/>
          <w:szCs w:val="24"/>
        </w:rPr>
        <w:t xml:space="preserve">Labor market alignment must be reviewed at least every two years as part of the </w:t>
      </w:r>
      <w:r>
        <w:rPr>
          <w:rFonts w:ascii="Times New Roman" w:hAnsi="Times New Roman" w:cs="Times New Roman"/>
          <w:sz w:val="24"/>
          <w:szCs w:val="24"/>
        </w:rPr>
        <w:t>CLNA</w:t>
      </w:r>
      <w:r w:rsidRPr="00051BFA">
        <w:rPr>
          <w:rFonts w:ascii="Times New Roman" w:hAnsi="Times New Roman" w:cs="Times New Roman"/>
          <w:sz w:val="24"/>
          <w:szCs w:val="24"/>
        </w:rPr>
        <w:t>.</w:t>
      </w:r>
    </w:p>
    <w:p w14:paraId="4FD18340" w14:textId="77777777" w:rsidR="005E15EC" w:rsidRPr="00051BFA" w:rsidRDefault="005E15EC" w:rsidP="005E15EC">
      <w:pPr>
        <w:rPr>
          <w:rFonts w:ascii="Times New Roman" w:hAnsi="Times New Roman" w:cs="Times New Roman"/>
          <w:sz w:val="24"/>
          <w:szCs w:val="24"/>
        </w:rPr>
      </w:pPr>
      <w:r w:rsidRPr="00051BFA">
        <w:rPr>
          <w:rFonts w:ascii="Times New Roman" w:hAnsi="Times New Roman" w:cs="Times New Roman"/>
          <w:sz w:val="24"/>
          <w:szCs w:val="24"/>
        </w:rPr>
        <w:t xml:space="preserve">For the review of current program offerings, </w:t>
      </w:r>
      <w:r>
        <w:rPr>
          <w:rFonts w:ascii="Times New Roman" w:hAnsi="Times New Roman" w:cs="Times New Roman"/>
          <w:sz w:val="24"/>
          <w:szCs w:val="24"/>
        </w:rPr>
        <w:t>recipients</w:t>
      </w:r>
      <w:r w:rsidRPr="00051BFA">
        <w:rPr>
          <w:rFonts w:ascii="Times New Roman" w:hAnsi="Times New Roman" w:cs="Times New Roman"/>
          <w:sz w:val="24"/>
          <w:szCs w:val="24"/>
        </w:rPr>
        <w:t xml:space="preserve"> may use a variety of methods </w:t>
      </w:r>
      <w:r>
        <w:rPr>
          <w:rFonts w:ascii="Times New Roman" w:hAnsi="Times New Roman" w:cs="Times New Roman"/>
          <w:sz w:val="24"/>
          <w:szCs w:val="24"/>
        </w:rPr>
        <w:t>to</w:t>
      </w:r>
      <w:r w:rsidRPr="00051BFA">
        <w:rPr>
          <w:rFonts w:ascii="Times New Roman" w:hAnsi="Times New Roman" w:cs="Times New Roman"/>
          <w:sz w:val="24"/>
          <w:szCs w:val="24"/>
        </w:rPr>
        <w:t xml:space="preserve"> document the alignment.  These methods are divided into </w:t>
      </w:r>
      <w:r>
        <w:rPr>
          <w:rFonts w:ascii="Times New Roman" w:hAnsi="Times New Roman" w:cs="Times New Roman"/>
          <w:sz w:val="24"/>
          <w:szCs w:val="24"/>
        </w:rPr>
        <w:t>primary and secondary sources. Recipients</w:t>
      </w:r>
      <w:r w:rsidRPr="00051BFA">
        <w:rPr>
          <w:rFonts w:ascii="Times New Roman" w:hAnsi="Times New Roman" w:cs="Times New Roman"/>
          <w:sz w:val="24"/>
          <w:szCs w:val="24"/>
        </w:rPr>
        <w:t xml:space="preserve"> may document </w:t>
      </w:r>
      <w:r>
        <w:rPr>
          <w:rFonts w:ascii="Times New Roman" w:hAnsi="Times New Roman" w:cs="Times New Roman"/>
          <w:sz w:val="24"/>
          <w:szCs w:val="24"/>
        </w:rPr>
        <w:t xml:space="preserve">alignment </w:t>
      </w:r>
      <w:r w:rsidRPr="00051BFA">
        <w:rPr>
          <w:rFonts w:ascii="Times New Roman" w:hAnsi="Times New Roman" w:cs="Times New Roman"/>
          <w:sz w:val="24"/>
          <w:szCs w:val="24"/>
        </w:rPr>
        <w:t xml:space="preserve">with 1 primary source or 2 secondary sources. </w:t>
      </w:r>
    </w:p>
    <w:p w14:paraId="699B3AF1" w14:textId="77777777" w:rsidR="00D94CB6" w:rsidRPr="00051BFA" w:rsidRDefault="00D94CB6" w:rsidP="00D94CB6">
      <w:pPr>
        <w:rPr>
          <w:rFonts w:ascii="Times New Roman" w:hAnsi="Times New Roman" w:cs="Times New Roman"/>
          <w:b/>
          <w:bCs/>
          <w:sz w:val="24"/>
          <w:szCs w:val="24"/>
        </w:rPr>
      </w:pPr>
    </w:p>
    <w:tbl>
      <w:tblPr>
        <w:tblStyle w:val="TableGrid"/>
        <w:tblW w:w="9360" w:type="dxa"/>
        <w:tblLayout w:type="fixed"/>
        <w:tblLook w:val="06A0" w:firstRow="1" w:lastRow="0" w:firstColumn="1" w:lastColumn="0" w:noHBand="1" w:noVBand="1"/>
      </w:tblPr>
      <w:tblGrid>
        <w:gridCol w:w="3315"/>
        <w:gridCol w:w="6045"/>
      </w:tblGrid>
      <w:tr w:rsidR="00D94CB6" w:rsidRPr="00051BFA" w14:paraId="518603A4" w14:textId="77777777" w:rsidTr="00816A31">
        <w:trPr>
          <w:tblHeader/>
        </w:trPr>
        <w:tc>
          <w:tcPr>
            <w:tcW w:w="9360" w:type="dxa"/>
            <w:gridSpan w:val="2"/>
            <w:shd w:val="clear" w:color="auto" w:fill="D9D9D9" w:themeFill="background1" w:themeFillShade="D9"/>
          </w:tcPr>
          <w:p w14:paraId="03311BE7" w14:textId="77777777" w:rsidR="00D94CB6" w:rsidRPr="00051BFA" w:rsidRDefault="00D94CB6" w:rsidP="00816A31">
            <w:pPr>
              <w:rPr>
                <w:rFonts w:ascii="Times New Roman" w:hAnsi="Times New Roman" w:cs="Times New Roman"/>
                <w:b/>
                <w:bCs/>
                <w:sz w:val="24"/>
                <w:szCs w:val="24"/>
              </w:rPr>
            </w:pPr>
          </w:p>
          <w:p w14:paraId="0E08130F" w14:textId="77777777" w:rsidR="00D94CB6" w:rsidRPr="00051BFA" w:rsidRDefault="00D94CB6" w:rsidP="00816A31">
            <w:pPr>
              <w:rPr>
                <w:rFonts w:ascii="Times New Roman" w:hAnsi="Times New Roman" w:cs="Times New Roman"/>
                <w:b/>
                <w:bCs/>
                <w:sz w:val="24"/>
                <w:szCs w:val="24"/>
              </w:rPr>
            </w:pPr>
            <w:r w:rsidRPr="00051BFA">
              <w:rPr>
                <w:rFonts w:ascii="Times New Roman" w:hAnsi="Times New Roman" w:cs="Times New Roman"/>
                <w:b/>
                <w:bCs/>
                <w:sz w:val="24"/>
                <w:szCs w:val="24"/>
              </w:rPr>
              <w:t>Option 1:  Primary Source Methods (Must have one)</w:t>
            </w:r>
          </w:p>
          <w:p w14:paraId="66CFEB62" w14:textId="77777777" w:rsidR="00D94CB6" w:rsidRPr="00051BFA" w:rsidRDefault="00D94CB6" w:rsidP="00816A31">
            <w:pPr>
              <w:rPr>
                <w:rFonts w:ascii="Times New Roman" w:hAnsi="Times New Roman" w:cs="Times New Roman"/>
                <w:b/>
                <w:bCs/>
                <w:sz w:val="24"/>
                <w:szCs w:val="24"/>
              </w:rPr>
            </w:pPr>
          </w:p>
        </w:tc>
      </w:tr>
      <w:tr w:rsidR="00D94CB6" w:rsidRPr="00051BFA" w14:paraId="19BBC76A" w14:textId="77777777" w:rsidTr="00816A31">
        <w:trPr>
          <w:tblHeader/>
        </w:trPr>
        <w:tc>
          <w:tcPr>
            <w:tcW w:w="3315" w:type="dxa"/>
            <w:shd w:val="clear" w:color="auto" w:fill="D9D9D9" w:themeFill="background1" w:themeFillShade="D9"/>
          </w:tcPr>
          <w:p w14:paraId="1D4679C8" w14:textId="77777777" w:rsidR="00D94CB6" w:rsidRPr="00051BFA" w:rsidRDefault="00D94CB6" w:rsidP="00816A31">
            <w:pPr>
              <w:spacing w:before="120" w:after="120"/>
              <w:jc w:val="center"/>
              <w:rPr>
                <w:rFonts w:ascii="Times New Roman" w:hAnsi="Times New Roman" w:cs="Times New Roman"/>
                <w:b/>
                <w:bCs/>
                <w:sz w:val="24"/>
                <w:szCs w:val="24"/>
              </w:rPr>
            </w:pPr>
            <w:r w:rsidRPr="00051BFA">
              <w:rPr>
                <w:rFonts w:ascii="Times New Roman" w:hAnsi="Times New Roman" w:cs="Times New Roman"/>
                <w:b/>
                <w:bCs/>
                <w:sz w:val="24"/>
                <w:szCs w:val="24"/>
              </w:rPr>
              <w:t>Method Type</w:t>
            </w:r>
          </w:p>
        </w:tc>
        <w:tc>
          <w:tcPr>
            <w:tcW w:w="6045" w:type="dxa"/>
            <w:shd w:val="clear" w:color="auto" w:fill="D9D9D9" w:themeFill="background1" w:themeFillShade="D9"/>
          </w:tcPr>
          <w:p w14:paraId="33BAA0E9" w14:textId="77777777" w:rsidR="00D94CB6" w:rsidRPr="00051BFA" w:rsidRDefault="00D94CB6" w:rsidP="00816A31">
            <w:pPr>
              <w:spacing w:before="120" w:after="120"/>
              <w:jc w:val="center"/>
              <w:rPr>
                <w:rFonts w:ascii="Times New Roman" w:hAnsi="Times New Roman" w:cs="Times New Roman"/>
                <w:b/>
                <w:bCs/>
                <w:sz w:val="24"/>
                <w:szCs w:val="24"/>
              </w:rPr>
            </w:pPr>
            <w:r w:rsidRPr="00051BFA">
              <w:rPr>
                <w:rFonts w:ascii="Times New Roman" w:hAnsi="Times New Roman" w:cs="Times New Roman"/>
                <w:b/>
                <w:bCs/>
                <w:sz w:val="24"/>
                <w:szCs w:val="24"/>
              </w:rPr>
              <w:t>Standard for Alignment</w:t>
            </w:r>
          </w:p>
        </w:tc>
      </w:tr>
      <w:tr w:rsidR="00D94CB6" w:rsidRPr="00051BFA" w14:paraId="43E40359" w14:textId="77777777" w:rsidTr="00816A31">
        <w:tc>
          <w:tcPr>
            <w:tcW w:w="3315" w:type="dxa"/>
          </w:tcPr>
          <w:p w14:paraId="53DDECE5"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Statewide Demand Occupation List (primary program SOC Code)</w:t>
            </w:r>
          </w:p>
        </w:tc>
        <w:tc>
          <w:tcPr>
            <w:tcW w:w="6045" w:type="dxa"/>
          </w:tcPr>
          <w:p w14:paraId="03D600A9"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The primary SOC code appears on the 2019-20 Statewide Demand Occupation List OR the 2018-19 Statewide Demand Occupation List</w:t>
            </w:r>
          </w:p>
        </w:tc>
      </w:tr>
      <w:tr w:rsidR="00D94CB6" w:rsidRPr="00051BFA" w14:paraId="481A196A" w14:textId="77777777" w:rsidTr="00816A31">
        <w:tc>
          <w:tcPr>
            <w:tcW w:w="3315" w:type="dxa"/>
          </w:tcPr>
          <w:p w14:paraId="1D6150C4" w14:textId="3FA13D8F" w:rsidR="00D94CB6" w:rsidRPr="00051BFA" w:rsidRDefault="00D94CB6" w:rsidP="0087411C">
            <w:pPr>
              <w:rPr>
                <w:rFonts w:ascii="Times New Roman" w:hAnsi="Times New Roman" w:cs="Times New Roman"/>
                <w:sz w:val="24"/>
                <w:szCs w:val="24"/>
              </w:rPr>
            </w:pPr>
            <w:r w:rsidRPr="00051BFA">
              <w:rPr>
                <w:rFonts w:ascii="Times New Roman" w:hAnsi="Times New Roman" w:cs="Times New Roman"/>
                <w:sz w:val="24"/>
                <w:szCs w:val="24"/>
              </w:rPr>
              <w:t xml:space="preserve">Statewide </w:t>
            </w:r>
            <w:r w:rsidR="0087411C">
              <w:rPr>
                <w:rFonts w:ascii="Times New Roman" w:hAnsi="Times New Roman" w:cs="Times New Roman"/>
                <w:sz w:val="24"/>
                <w:szCs w:val="24"/>
              </w:rPr>
              <w:t>Demand</w:t>
            </w:r>
            <w:r w:rsidRPr="00051BFA">
              <w:rPr>
                <w:rFonts w:ascii="Times New Roman" w:hAnsi="Times New Roman" w:cs="Times New Roman"/>
                <w:sz w:val="24"/>
                <w:szCs w:val="24"/>
              </w:rPr>
              <w:t xml:space="preserve"> Occupation list (secondary program SOC Code)</w:t>
            </w:r>
          </w:p>
        </w:tc>
        <w:tc>
          <w:tcPr>
            <w:tcW w:w="6045" w:type="dxa"/>
          </w:tcPr>
          <w:p w14:paraId="3964241A"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The agency has identified another SOC included in the program framework for the program for which students in their program are placed for employment (documentation should be kept locally).</w:t>
            </w:r>
          </w:p>
          <w:p w14:paraId="51C9DC6D"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 xml:space="preserve">This secondary SOC code appears on the 2019-20 Statewide Demand Occupation List OR the 2018-19 Statewide Demand Occupation List. </w:t>
            </w:r>
          </w:p>
        </w:tc>
      </w:tr>
      <w:tr w:rsidR="00D94CB6" w:rsidRPr="00051BFA" w14:paraId="2862CF51" w14:textId="77777777" w:rsidTr="00816A31">
        <w:tc>
          <w:tcPr>
            <w:tcW w:w="3315" w:type="dxa"/>
          </w:tcPr>
          <w:p w14:paraId="2C4DCCDA" w14:textId="77777777" w:rsidR="00D94CB6" w:rsidRPr="00051BFA" w:rsidRDefault="00D94CB6" w:rsidP="00816A31">
            <w:pPr>
              <w:spacing w:line="259" w:lineRule="auto"/>
              <w:rPr>
                <w:rFonts w:ascii="Times New Roman" w:hAnsi="Times New Roman" w:cs="Times New Roman"/>
                <w:sz w:val="24"/>
                <w:szCs w:val="24"/>
              </w:rPr>
            </w:pPr>
            <w:r w:rsidRPr="00051BFA">
              <w:rPr>
                <w:rFonts w:ascii="Times New Roman" w:hAnsi="Times New Roman" w:cs="Times New Roman"/>
                <w:sz w:val="24"/>
                <w:szCs w:val="24"/>
              </w:rPr>
              <w:t>Regional Demand Occupation List (primary program SOC code)</w:t>
            </w:r>
          </w:p>
        </w:tc>
        <w:tc>
          <w:tcPr>
            <w:tcW w:w="6045" w:type="dxa"/>
          </w:tcPr>
          <w:p w14:paraId="3FB89CC4" w14:textId="5CE96F63" w:rsidR="00D94CB6" w:rsidRPr="00051BFA" w:rsidRDefault="00D94CB6" w:rsidP="005E15EC">
            <w:pPr>
              <w:rPr>
                <w:rFonts w:ascii="Times New Roman" w:hAnsi="Times New Roman" w:cs="Times New Roman"/>
                <w:sz w:val="24"/>
                <w:szCs w:val="24"/>
              </w:rPr>
            </w:pPr>
            <w:r w:rsidRPr="00051BFA">
              <w:rPr>
                <w:rFonts w:ascii="Times New Roman" w:hAnsi="Times New Roman" w:cs="Times New Roman"/>
                <w:sz w:val="24"/>
                <w:szCs w:val="24"/>
              </w:rPr>
              <w:t xml:space="preserve">The primary SOC code appears on the 2019-20 Regional Demand Occupation List or the 2018-19 Regional Demand Occupation </w:t>
            </w:r>
            <w:r w:rsidR="005E15EC">
              <w:rPr>
                <w:rFonts w:ascii="Times New Roman" w:hAnsi="Times New Roman" w:cs="Times New Roman"/>
                <w:sz w:val="24"/>
                <w:szCs w:val="24"/>
              </w:rPr>
              <w:t>L</w:t>
            </w:r>
            <w:r w:rsidRPr="00051BFA">
              <w:rPr>
                <w:rFonts w:ascii="Times New Roman" w:hAnsi="Times New Roman" w:cs="Times New Roman"/>
                <w:sz w:val="24"/>
                <w:szCs w:val="24"/>
              </w:rPr>
              <w:t>ist for the CareerSource region of the agency.</w:t>
            </w:r>
          </w:p>
        </w:tc>
      </w:tr>
      <w:tr w:rsidR="00D94CB6" w:rsidRPr="00051BFA" w14:paraId="0FE7A08B" w14:textId="77777777" w:rsidTr="00816A31">
        <w:tc>
          <w:tcPr>
            <w:tcW w:w="3315" w:type="dxa"/>
          </w:tcPr>
          <w:p w14:paraId="71B80E2B"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Regional Demand Occupation List (secondary program SOC code)</w:t>
            </w:r>
          </w:p>
        </w:tc>
        <w:tc>
          <w:tcPr>
            <w:tcW w:w="6045" w:type="dxa"/>
          </w:tcPr>
          <w:p w14:paraId="3D048D38"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The agency has identified another SOC included in the program framework for the program for which students in their programs are placed for employment (documentation should be kept locally).</w:t>
            </w:r>
          </w:p>
          <w:p w14:paraId="72AA7216"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lastRenderedPageBreak/>
              <w:t>This secondary SOC code appears on the 2019-20 Regional Demand Occupation List or the 2018-19 Regional Demand Occupation list for the CareerSource region of the agency.</w:t>
            </w:r>
          </w:p>
        </w:tc>
      </w:tr>
      <w:tr w:rsidR="00D94CB6" w:rsidRPr="00051BFA" w14:paraId="52A723C2" w14:textId="77777777" w:rsidTr="00816A31">
        <w:tc>
          <w:tcPr>
            <w:tcW w:w="3315" w:type="dxa"/>
          </w:tcPr>
          <w:p w14:paraId="4406B35C"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lastRenderedPageBreak/>
              <w:t>Regional Targeted Occupation List (primary program SOC Code)</w:t>
            </w:r>
          </w:p>
        </w:tc>
        <w:tc>
          <w:tcPr>
            <w:tcW w:w="6045" w:type="dxa"/>
          </w:tcPr>
          <w:p w14:paraId="501BB978"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The primary SOC code appears on the 2019-20 Targeted Occupation List or the 2018-19 Targeted Occupation List for the CareerSource region of the agency.</w:t>
            </w:r>
          </w:p>
        </w:tc>
      </w:tr>
      <w:tr w:rsidR="00D94CB6" w:rsidRPr="00051BFA" w14:paraId="5966E208" w14:textId="77777777" w:rsidTr="00816A31">
        <w:tc>
          <w:tcPr>
            <w:tcW w:w="3315" w:type="dxa"/>
          </w:tcPr>
          <w:p w14:paraId="7113AA48"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Regional Targeted Occupation List</w:t>
            </w:r>
          </w:p>
          <w:p w14:paraId="1A788013"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(secondary program SOC Code)</w:t>
            </w:r>
          </w:p>
        </w:tc>
        <w:tc>
          <w:tcPr>
            <w:tcW w:w="6045" w:type="dxa"/>
          </w:tcPr>
          <w:p w14:paraId="1BD60C61"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The agency has identified another SOC included in the program framework for the program for which students in their programs are placed for employment (documentation should be kept locally).</w:t>
            </w:r>
          </w:p>
          <w:p w14:paraId="7DA5B6E8" w14:textId="6C30C206" w:rsidR="00D94CB6" w:rsidRPr="00051BFA" w:rsidRDefault="00D94CB6" w:rsidP="0087411C">
            <w:pPr>
              <w:rPr>
                <w:rFonts w:ascii="Times New Roman" w:hAnsi="Times New Roman" w:cs="Times New Roman"/>
                <w:sz w:val="24"/>
                <w:szCs w:val="24"/>
              </w:rPr>
            </w:pPr>
            <w:r w:rsidRPr="00051BFA">
              <w:rPr>
                <w:rFonts w:ascii="Times New Roman" w:hAnsi="Times New Roman" w:cs="Times New Roman"/>
                <w:sz w:val="24"/>
                <w:szCs w:val="24"/>
              </w:rPr>
              <w:t xml:space="preserve">This secondary SOC code appears on the 2019-20 </w:t>
            </w:r>
            <w:r w:rsidR="0087411C">
              <w:rPr>
                <w:rFonts w:ascii="Times New Roman" w:hAnsi="Times New Roman" w:cs="Times New Roman"/>
                <w:sz w:val="24"/>
                <w:szCs w:val="24"/>
              </w:rPr>
              <w:t xml:space="preserve">Regional </w:t>
            </w:r>
            <w:r w:rsidRPr="00051BFA">
              <w:rPr>
                <w:rFonts w:ascii="Times New Roman" w:hAnsi="Times New Roman" w:cs="Times New Roman"/>
                <w:sz w:val="24"/>
                <w:szCs w:val="24"/>
              </w:rPr>
              <w:t xml:space="preserve">Demand Occupation List OR the 2018-19 </w:t>
            </w:r>
            <w:r w:rsidR="0087411C">
              <w:rPr>
                <w:rFonts w:ascii="Times New Roman" w:hAnsi="Times New Roman" w:cs="Times New Roman"/>
                <w:sz w:val="24"/>
                <w:szCs w:val="24"/>
              </w:rPr>
              <w:t>Regional</w:t>
            </w:r>
            <w:r w:rsidRPr="00051BFA">
              <w:rPr>
                <w:rFonts w:ascii="Times New Roman" w:hAnsi="Times New Roman" w:cs="Times New Roman"/>
                <w:sz w:val="24"/>
                <w:szCs w:val="24"/>
              </w:rPr>
              <w:t xml:space="preserve"> Demand Occupation List</w:t>
            </w:r>
            <w:r w:rsidR="0087411C">
              <w:rPr>
                <w:rFonts w:ascii="Times New Roman" w:hAnsi="Times New Roman" w:cs="Times New Roman"/>
                <w:sz w:val="24"/>
                <w:szCs w:val="24"/>
              </w:rPr>
              <w:t xml:space="preserve"> </w:t>
            </w:r>
            <w:r w:rsidR="0087411C" w:rsidRPr="00051BFA">
              <w:rPr>
                <w:rFonts w:ascii="Times New Roman" w:hAnsi="Times New Roman" w:cs="Times New Roman"/>
                <w:sz w:val="24"/>
                <w:szCs w:val="24"/>
              </w:rPr>
              <w:t>for the CareerSource region of the agency</w:t>
            </w:r>
            <w:r w:rsidRPr="00051BFA">
              <w:rPr>
                <w:rFonts w:ascii="Times New Roman" w:hAnsi="Times New Roman" w:cs="Times New Roman"/>
                <w:sz w:val="24"/>
                <w:szCs w:val="24"/>
              </w:rPr>
              <w:t xml:space="preserve">. </w:t>
            </w:r>
          </w:p>
        </w:tc>
      </w:tr>
      <w:tr w:rsidR="00D94CB6" w:rsidRPr="00051BFA" w14:paraId="6B044B6D" w14:textId="77777777" w:rsidTr="00816A31">
        <w:tc>
          <w:tcPr>
            <w:tcW w:w="3315" w:type="dxa"/>
          </w:tcPr>
          <w:p w14:paraId="5AFA4191"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Enterprise Florida Targeted Industry Sector</w:t>
            </w:r>
          </w:p>
        </w:tc>
        <w:tc>
          <w:tcPr>
            <w:tcW w:w="6045" w:type="dxa"/>
          </w:tcPr>
          <w:p w14:paraId="4DB250C2"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The agency has documentation that their program aligns with one of the current Enterprise Florida Targeted Industries:</w:t>
            </w:r>
          </w:p>
          <w:p w14:paraId="4CD110B2" w14:textId="77777777" w:rsidR="00D94CB6" w:rsidRPr="00051BFA" w:rsidRDefault="00D94CB6" w:rsidP="00D94CB6">
            <w:pPr>
              <w:pStyle w:val="ListParagraph"/>
              <w:numPr>
                <w:ilvl w:val="0"/>
                <w:numId w:val="1"/>
              </w:numPr>
              <w:rPr>
                <w:rFonts w:ascii="Times New Roman" w:hAnsi="Times New Roman" w:cs="Times New Roman"/>
                <w:sz w:val="24"/>
                <w:szCs w:val="24"/>
              </w:rPr>
            </w:pPr>
            <w:r w:rsidRPr="00051BFA">
              <w:rPr>
                <w:rFonts w:ascii="Times New Roman" w:hAnsi="Times New Roman" w:cs="Times New Roman"/>
                <w:sz w:val="24"/>
                <w:szCs w:val="24"/>
              </w:rPr>
              <w:t>Aviation &amp; Aerospace</w:t>
            </w:r>
          </w:p>
          <w:p w14:paraId="0B7A5DED" w14:textId="77777777" w:rsidR="00D94CB6" w:rsidRPr="00051BFA" w:rsidRDefault="00D94CB6" w:rsidP="00D94CB6">
            <w:pPr>
              <w:pStyle w:val="ListParagraph"/>
              <w:numPr>
                <w:ilvl w:val="0"/>
                <w:numId w:val="1"/>
              </w:numPr>
              <w:rPr>
                <w:rFonts w:ascii="Times New Roman" w:hAnsi="Times New Roman" w:cs="Times New Roman"/>
                <w:sz w:val="24"/>
                <w:szCs w:val="24"/>
              </w:rPr>
            </w:pPr>
            <w:r w:rsidRPr="00051BFA">
              <w:rPr>
                <w:rFonts w:ascii="Times New Roman" w:hAnsi="Times New Roman" w:cs="Times New Roman"/>
                <w:sz w:val="24"/>
                <w:szCs w:val="24"/>
              </w:rPr>
              <w:t>Life Sciences</w:t>
            </w:r>
          </w:p>
          <w:p w14:paraId="7071F7BB" w14:textId="77777777" w:rsidR="00D94CB6" w:rsidRPr="00051BFA" w:rsidRDefault="00D94CB6" w:rsidP="00D94CB6">
            <w:pPr>
              <w:pStyle w:val="ListParagraph"/>
              <w:numPr>
                <w:ilvl w:val="0"/>
                <w:numId w:val="1"/>
              </w:numPr>
              <w:rPr>
                <w:rFonts w:ascii="Times New Roman" w:hAnsi="Times New Roman" w:cs="Times New Roman"/>
                <w:sz w:val="24"/>
                <w:szCs w:val="24"/>
              </w:rPr>
            </w:pPr>
            <w:r w:rsidRPr="00051BFA">
              <w:rPr>
                <w:rFonts w:ascii="Times New Roman" w:hAnsi="Times New Roman" w:cs="Times New Roman"/>
                <w:sz w:val="24"/>
                <w:szCs w:val="24"/>
              </w:rPr>
              <w:t>Manufacturing</w:t>
            </w:r>
          </w:p>
          <w:p w14:paraId="5F39A855" w14:textId="77777777" w:rsidR="00D94CB6" w:rsidRPr="00051BFA" w:rsidRDefault="00D94CB6" w:rsidP="00D94CB6">
            <w:pPr>
              <w:pStyle w:val="ListParagraph"/>
              <w:numPr>
                <w:ilvl w:val="0"/>
                <w:numId w:val="1"/>
              </w:numPr>
              <w:rPr>
                <w:rFonts w:ascii="Times New Roman" w:hAnsi="Times New Roman" w:cs="Times New Roman"/>
                <w:sz w:val="24"/>
                <w:szCs w:val="24"/>
              </w:rPr>
            </w:pPr>
            <w:r w:rsidRPr="00051BFA">
              <w:rPr>
                <w:rFonts w:ascii="Times New Roman" w:hAnsi="Times New Roman" w:cs="Times New Roman"/>
                <w:sz w:val="24"/>
                <w:szCs w:val="24"/>
              </w:rPr>
              <w:t>Defense &amp; Homeland Security</w:t>
            </w:r>
          </w:p>
          <w:p w14:paraId="41FBB832" w14:textId="77777777" w:rsidR="00D94CB6" w:rsidRPr="00051BFA" w:rsidRDefault="00D94CB6" w:rsidP="00D94CB6">
            <w:pPr>
              <w:pStyle w:val="ListParagraph"/>
              <w:numPr>
                <w:ilvl w:val="0"/>
                <w:numId w:val="1"/>
              </w:numPr>
              <w:rPr>
                <w:rFonts w:ascii="Times New Roman" w:hAnsi="Times New Roman" w:cs="Times New Roman"/>
                <w:sz w:val="24"/>
                <w:szCs w:val="24"/>
              </w:rPr>
            </w:pPr>
            <w:r w:rsidRPr="00051BFA">
              <w:rPr>
                <w:rFonts w:ascii="Times New Roman" w:hAnsi="Times New Roman" w:cs="Times New Roman"/>
                <w:sz w:val="24"/>
                <w:szCs w:val="24"/>
              </w:rPr>
              <w:t>Information Technology</w:t>
            </w:r>
          </w:p>
          <w:p w14:paraId="70D61E8B" w14:textId="77777777" w:rsidR="00D94CB6" w:rsidRPr="00051BFA" w:rsidRDefault="00D94CB6" w:rsidP="00D94CB6">
            <w:pPr>
              <w:pStyle w:val="ListParagraph"/>
              <w:numPr>
                <w:ilvl w:val="0"/>
                <w:numId w:val="1"/>
              </w:numPr>
              <w:rPr>
                <w:rFonts w:ascii="Times New Roman" w:hAnsi="Times New Roman" w:cs="Times New Roman"/>
                <w:sz w:val="24"/>
                <w:szCs w:val="24"/>
              </w:rPr>
            </w:pPr>
            <w:r w:rsidRPr="00051BFA">
              <w:rPr>
                <w:rFonts w:ascii="Times New Roman" w:hAnsi="Times New Roman" w:cs="Times New Roman"/>
                <w:sz w:val="24"/>
                <w:szCs w:val="24"/>
              </w:rPr>
              <w:t>Financial &amp; Professional Services</w:t>
            </w:r>
          </w:p>
          <w:p w14:paraId="615EA62B" w14:textId="77777777" w:rsidR="00D94CB6" w:rsidRPr="00051BFA" w:rsidRDefault="00D94CB6" w:rsidP="00D94CB6">
            <w:pPr>
              <w:pStyle w:val="ListParagraph"/>
              <w:numPr>
                <w:ilvl w:val="0"/>
                <w:numId w:val="1"/>
              </w:numPr>
              <w:rPr>
                <w:rFonts w:ascii="Times New Roman" w:hAnsi="Times New Roman" w:cs="Times New Roman"/>
                <w:sz w:val="24"/>
                <w:szCs w:val="24"/>
              </w:rPr>
            </w:pPr>
            <w:r w:rsidRPr="00051BFA">
              <w:rPr>
                <w:rFonts w:ascii="Times New Roman" w:hAnsi="Times New Roman" w:cs="Times New Roman"/>
                <w:sz w:val="24"/>
                <w:szCs w:val="24"/>
              </w:rPr>
              <w:t>Logistics &amp; Distribution</w:t>
            </w:r>
          </w:p>
          <w:p w14:paraId="07199A37" w14:textId="77777777" w:rsidR="00D94CB6" w:rsidRPr="00051BFA" w:rsidRDefault="00D94CB6" w:rsidP="00D94CB6">
            <w:pPr>
              <w:pStyle w:val="ListParagraph"/>
              <w:numPr>
                <w:ilvl w:val="0"/>
                <w:numId w:val="1"/>
              </w:numPr>
              <w:rPr>
                <w:rFonts w:ascii="Times New Roman" w:hAnsi="Times New Roman" w:cs="Times New Roman"/>
                <w:sz w:val="24"/>
                <w:szCs w:val="24"/>
              </w:rPr>
            </w:pPr>
            <w:r w:rsidRPr="00051BFA">
              <w:rPr>
                <w:rFonts w:ascii="Times New Roman" w:hAnsi="Times New Roman" w:cs="Times New Roman"/>
                <w:sz w:val="24"/>
                <w:szCs w:val="24"/>
              </w:rPr>
              <w:t>Cleantech</w:t>
            </w:r>
          </w:p>
          <w:p w14:paraId="7C3DD43E"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The agency may document the justification for the alignment of the program to the industry sector.</w:t>
            </w:r>
          </w:p>
        </w:tc>
      </w:tr>
      <w:tr w:rsidR="00D94CB6" w:rsidRPr="00051BFA" w14:paraId="433D9613" w14:textId="77777777" w:rsidTr="00816A31">
        <w:tc>
          <w:tcPr>
            <w:tcW w:w="3315" w:type="dxa"/>
          </w:tcPr>
          <w:p w14:paraId="1ECE8D03"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 xml:space="preserve">Targeted Occupation or Sector identified by local CareerSource Board in current local WIOA Plan </w:t>
            </w:r>
          </w:p>
        </w:tc>
        <w:tc>
          <w:tcPr>
            <w:tcW w:w="6045" w:type="dxa"/>
          </w:tcPr>
          <w:p w14:paraId="75045BAB" w14:textId="77777777" w:rsidR="00D94CB6" w:rsidRPr="00051BFA" w:rsidRDefault="00D94CB6" w:rsidP="00816A31">
            <w:pPr>
              <w:rPr>
                <w:rFonts w:ascii="Times New Roman" w:hAnsi="Times New Roman" w:cs="Times New Roman"/>
                <w:sz w:val="24"/>
                <w:szCs w:val="24"/>
              </w:rPr>
            </w:pPr>
            <w:r w:rsidRPr="00051BFA">
              <w:rPr>
                <w:rFonts w:ascii="Times New Roman" w:hAnsi="Times New Roman" w:cs="Times New Roman"/>
                <w:sz w:val="24"/>
                <w:szCs w:val="24"/>
              </w:rPr>
              <w:t>The agency has documentation that the program can be linked to an identified occupation or sector in the local CareerSource Board’s current WIOA plan.</w:t>
            </w:r>
          </w:p>
        </w:tc>
      </w:tr>
      <w:tr w:rsidR="00D94CB6" w:rsidRPr="00051BFA" w14:paraId="41DABFAC" w14:textId="77777777" w:rsidTr="00816A31">
        <w:tc>
          <w:tcPr>
            <w:tcW w:w="3315" w:type="dxa"/>
          </w:tcPr>
          <w:p w14:paraId="2CB3208F"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Agriculture-related Programs</w:t>
            </w:r>
          </w:p>
        </w:tc>
        <w:tc>
          <w:tcPr>
            <w:tcW w:w="6045" w:type="dxa"/>
          </w:tcPr>
          <w:p w14:paraId="2D33AF39" w14:textId="4E6A215B" w:rsidR="005273F7" w:rsidRDefault="00D94CB6" w:rsidP="005273F7">
            <w:pPr>
              <w:pStyle w:val="xmsonormal"/>
              <w:shd w:val="clear" w:color="auto" w:fill="FFFFFF"/>
              <w:spacing w:before="0" w:beforeAutospacing="0" w:after="0" w:afterAutospacing="0"/>
              <w:rPr>
                <w:color w:val="201F1E"/>
              </w:rPr>
            </w:pPr>
            <w:r w:rsidRPr="00051BFA">
              <w:t xml:space="preserve">For </w:t>
            </w:r>
            <w:r w:rsidR="005273F7">
              <w:t>most</w:t>
            </w:r>
            <w:r w:rsidRPr="00051BFA">
              <w:t xml:space="preserve"> program</w:t>
            </w:r>
            <w:r w:rsidR="005273F7">
              <w:t>s</w:t>
            </w:r>
            <w:r w:rsidRPr="00051BFA">
              <w:t xml:space="preserve"> identified as primarily agricultural, the agency </w:t>
            </w:r>
            <w:r w:rsidR="005273F7">
              <w:t xml:space="preserve">may use a letter from the Department of Agriculture and Consumer Services to demonstrate labor market demand. A list of programs for which such letters are available may be found at </w:t>
            </w:r>
            <w:hyperlink r:id="rId8" w:history="1">
              <w:r w:rsidR="005273F7">
                <w:rPr>
                  <w:rStyle w:val="Hyperlink"/>
                </w:rPr>
                <w:t>http://www.fldoe.org/core/fileparse.php/18815/urlt/DOACS-ProgDocRequest.pdf</w:t>
              </w:r>
            </w:hyperlink>
            <w:r w:rsidR="005273F7">
              <w:t xml:space="preserve">. Letters may be obtained by sending a request to </w:t>
            </w:r>
            <w:hyperlink r:id="rId9" w:history="1">
              <w:r w:rsidR="005273F7" w:rsidRPr="00A7146B">
                <w:rPr>
                  <w:rStyle w:val="Hyperlink"/>
                </w:rPr>
                <w:t>Perkins@fldoe.org</w:t>
              </w:r>
            </w:hyperlink>
            <w:r w:rsidR="005273F7">
              <w:t xml:space="preserve">. For those agriculture programs where no letter is available, the agency  </w:t>
            </w:r>
            <w:r w:rsidR="005273F7">
              <w:rPr>
                <w:rFonts w:ascii="Calibri" w:hAnsi="Calibri" w:cs="Calibri"/>
                <w:color w:val="1F497D"/>
                <w:sz w:val="22"/>
                <w:szCs w:val="22"/>
                <w:bdr w:val="none" w:sz="0" w:space="0" w:color="auto" w:frame="1"/>
              </w:rPr>
              <w:t> </w:t>
            </w:r>
          </w:p>
          <w:p w14:paraId="6EF4D6A1" w14:textId="4ED43741" w:rsidR="00D94CB6" w:rsidRPr="00051BFA" w:rsidRDefault="00D0551F" w:rsidP="007D0EE9">
            <w:pPr>
              <w:rPr>
                <w:rFonts w:ascii="Times New Roman" w:hAnsi="Times New Roman" w:cs="Times New Roman"/>
                <w:sz w:val="24"/>
                <w:szCs w:val="24"/>
              </w:rPr>
            </w:pPr>
            <w:r>
              <w:rPr>
                <w:rFonts w:ascii="Times New Roman" w:hAnsi="Times New Roman" w:cs="Times New Roman"/>
                <w:sz w:val="24"/>
                <w:szCs w:val="24"/>
              </w:rPr>
              <w:lastRenderedPageBreak/>
              <w:t xml:space="preserve">will need to utilize one of the </w:t>
            </w:r>
            <w:r w:rsidR="005273F7">
              <w:rPr>
                <w:rFonts w:ascii="Times New Roman" w:hAnsi="Times New Roman" w:cs="Times New Roman"/>
                <w:sz w:val="24"/>
                <w:szCs w:val="24"/>
              </w:rPr>
              <w:t xml:space="preserve">other </w:t>
            </w:r>
            <w:r>
              <w:rPr>
                <w:rFonts w:ascii="Times New Roman" w:hAnsi="Times New Roman" w:cs="Times New Roman"/>
                <w:sz w:val="24"/>
                <w:szCs w:val="24"/>
              </w:rPr>
              <w:t xml:space="preserve">listed primary sources or two of the listed secondary sources to demonstrate economic demand. </w:t>
            </w:r>
          </w:p>
        </w:tc>
      </w:tr>
    </w:tbl>
    <w:p w14:paraId="7FF7F396" w14:textId="77777777" w:rsidR="00D94CB6" w:rsidRPr="00051BFA" w:rsidRDefault="00D94CB6" w:rsidP="00D94CB6">
      <w:pPr>
        <w:rPr>
          <w:rFonts w:ascii="Times New Roman" w:hAnsi="Times New Roman" w:cs="Times New Roman"/>
          <w:sz w:val="24"/>
          <w:szCs w:val="24"/>
        </w:rPr>
      </w:pPr>
    </w:p>
    <w:p w14:paraId="6648B3FB" w14:textId="77777777" w:rsidR="00D94CB6" w:rsidRPr="00051BFA" w:rsidRDefault="00D94CB6" w:rsidP="00D94CB6">
      <w:pPr>
        <w:rPr>
          <w:rFonts w:ascii="Times New Roman" w:eastAsiaTheme="minorEastAsia" w:hAnsi="Times New Roman" w:cs="Times New Roman"/>
          <w:b/>
          <w:bCs/>
          <w:sz w:val="24"/>
          <w:szCs w:val="24"/>
        </w:rPr>
      </w:pPr>
    </w:p>
    <w:tbl>
      <w:tblPr>
        <w:tblStyle w:val="TableGrid"/>
        <w:tblW w:w="9360" w:type="dxa"/>
        <w:tblLayout w:type="fixed"/>
        <w:tblLook w:val="06A0" w:firstRow="1" w:lastRow="0" w:firstColumn="1" w:lastColumn="0" w:noHBand="1" w:noVBand="1"/>
      </w:tblPr>
      <w:tblGrid>
        <w:gridCol w:w="3360"/>
        <w:gridCol w:w="6000"/>
      </w:tblGrid>
      <w:tr w:rsidR="00D94CB6" w:rsidRPr="00051BFA" w14:paraId="69EF1A7D" w14:textId="77777777" w:rsidTr="00816A31">
        <w:trPr>
          <w:tblHeader/>
        </w:trPr>
        <w:tc>
          <w:tcPr>
            <w:tcW w:w="9360" w:type="dxa"/>
            <w:gridSpan w:val="2"/>
            <w:shd w:val="clear" w:color="auto" w:fill="D9D9D9" w:themeFill="background1" w:themeFillShade="D9"/>
          </w:tcPr>
          <w:p w14:paraId="0E2D9302" w14:textId="77777777" w:rsidR="00D94CB6" w:rsidRPr="00051BFA" w:rsidRDefault="00D94CB6" w:rsidP="00816A31">
            <w:pPr>
              <w:rPr>
                <w:rFonts w:ascii="Times New Roman" w:eastAsiaTheme="minorEastAsia" w:hAnsi="Times New Roman" w:cs="Times New Roman"/>
                <w:b/>
                <w:bCs/>
                <w:sz w:val="24"/>
                <w:szCs w:val="24"/>
              </w:rPr>
            </w:pPr>
          </w:p>
          <w:p w14:paraId="056D59A5" w14:textId="77777777" w:rsidR="00D94CB6" w:rsidRPr="00051BFA" w:rsidRDefault="00D94CB6" w:rsidP="00816A31">
            <w:pPr>
              <w:rPr>
                <w:rFonts w:ascii="Times New Roman" w:eastAsiaTheme="minorEastAsia" w:hAnsi="Times New Roman" w:cs="Times New Roman"/>
                <w:b/>
                <w:bCs/>
                <w:sz w:val="24"/>
                <w:szCs w:val="24"/>
              </w:rPr>
            </w:pPr>
            <w:r w:rsidRPr="00051BFA">
              <w:rPr>
                <w:rFonts w:ascii="Times New Roman" w:eastAsiaTheme="minorEastAsia" w:hAnsi="Times New Roman" w:cs="Times New Roman"/>
                <w:b/>
                <w:bCs/>
                <w:sz w:val="24"/>
                <w:szCs w:val="24"/>
              </w:rPr>
              <w:t>Option 2:   Secondary Source Method (must have two)</w:t>
            </w:r>
          </w:p>
          <w:p w14:paraId="4F14BEF8" w14:textId="77777777" w:rsidR="00D94CB6" w:rsidRPr="00051BFA" w:rsidRDefault="00D94CB6" w:rsidP="00816A31">
            <w:pPr>
              <w:rPr>
                <w:rFonts w:ascii="Times New Roman" w:eastAsiaTheme="minorEastAsia" w:hAnsi="Times New Roman" w:cs="Times New Roman"/>
                <w:b/>
                <w:bCs/>
                <w:sz w:val="24"/>
                <w:szCs w:val="24"/>
              </w:rPr>
            </w:pPr>
          </w:p>
        </w:tc>
      </w:tr>
      <w:tr w:rsidR="00D94CB6" w:rsidRPr="00051BFA" w14:paraId="64796214" w14:textId="77777777" w:rsidTr="00816A31">
        <w:trPr>
          <w:tblHeader/>
        </w:trPr>
        <w:tc>
          <w:tcPr>
            <w:tcW w:w="3360" w:type="dxa"/>
            <w:shd w:val="clear" w:color="auto" w:fill="D9D9D9" w:themeFill="background1" w:themeFillShade="D9"/>
          </w:tcPr>
          <w:p w14:paraId="14D82AEB" w14:textId="77777777" w:rsidR="00D94CB6" w:rsidRPr="00051BFA" w:rsidRDefault="00D94CB6" w:rsidP="00816A31">
            <w:pPr>
              <w:spacing w:before="120" w:after="120"/>
              <w:jc w:val="center"/>
              <w:rPr>
                <w:rFonts w:ascii="Times New Roman" w:eastAsiaTheme="minorEastAsia" w:hAnsi="Times New Roman" w:cs="Times New Roman"/>
                <w:b/>
                <w:bCs/>
                <w:sz w:val="24"/>
                <w:szCs w:val="24"/>
              </w:rPr>
            </w:pPr>
            <w:r w:rsidRPr="00051BFA">
              <w:rPr>
                <w:rFonts w:ascii="Times New Roman" w:eastAsiaTheme="minorEastAsia" w:hAnsi="Times New Roman" w:cs="Times New Roman"/>
                <w:b/>
                <w:bCs/>
                <w:sz w:val="24"/>
                <w:szCs w:val="24"/>
              </w:rPr>
              <w:t>Method Type</w:t>
            </w:r>
          </w:p>
        </w:tc>
        <w:tc>
          <w:tcPr>
            <w:tcW w:w="6000" w:type="dxa"/>
            <w:shd w:val="clear" w:color="auto" w:fill="D9D9D9" w:themeFill="background1" w:themeFillShade="D9"/>
          </w:tcPr>
          <w:p w14:paraId="43F3365D" w14:textId="77777777" w:rsidR="00D94CB6" w:rsidRPr="00051BFA" w:rsidRDefault="00D94CB6" w:rsidP="00816A31">
            <w:pPr>
              <w:spacing w:before="120" w:after="120"/>
              <w:jc w:val="center"/>
              <w:rPr>
                <w:rFonts w:ascii="Times New Roman" w:eastAsiaTheme="minorEastAsia" w:hAnsi="Times New Roman" w:cs="Times New Roman"/>
                <w:b/>
                <w:bCs/>
                <w:sz w:val="24"/>
                <w:szCs w:val="24"/>
              </w:rPr>
            </w:pPr>
            <w:r w:rsidRPr="00051BFA">
              <w:rPr>
                <w:rFonts w:ascii="Times New Roman" w:eastAsiaTheme="minorEastAsia" w:hAnsi="Times New Roman" w:cs="Times New Roman"/>
                <w:b/>
                <w:bCs/>
                <w:sz w:val="24"/>
                <w:szCs w:val="24"/>
              </w:rPr>
              <w:t>Standard for Alignment</w:t>
            </w:r>
          </w:p>
        </w:tc>
      </w:tr>
      <w:tr w:rsidR="00D94CB6" w:rsidRPr="00051BFA" w14:paraId="1A5212B9" w14:textId="77777777" w:rsidTr="00816A31">
        <w:tc>
          <w:tcPr>
            <w:tcW w:w="3360" w:type="dxa"/>
          </w:tcPr>
          <w:p w14:paraId="1FB4805F"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Job Analytics Resources for the region</w:t>
            </w:r>
          </w:p>
        </w:tc>
        <w:tc>
          <w:tcPr>
            <w:tcW w:w="6000" w:type="dxa"/>
          </w:tcPr>
          <w:p w14:paraId="6AAD6D96" w14:textId="2590458F" w:rsidR="00D94CB6" w:rsidRPr="00051BFA" w:rsidRDefault="00D94CB6" w:rsidP="0087411C">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 xml:space="preserve">The agency has documentation of labor market demand from completers of the program from a resource that produces labor market demand information for the agency’s region. </w:t>
            </w:r>
          </w:p>
        </w:tc>
      </w:tr>
      <w:tr w:rsidR="00D94CB6" w:rsidRPr="00051BFA" w14:paraId="62009B70" w14:textId="77777777" w:rsidTr="00816A31">
        <w:tc>
          <w:tcPr>
            <w:tcW w:w="3360" w:type="dxa"/>
          </w:tcPr>
          <w:p w14:paraId="59A50704" w14:textId="77777777" w:rsidR="00D94CB6" w:rsidRPr="00051BFA" w:rsidRDefault="00D94CB6" w:rsidP="00816A31">
            <w:pPr>
              <w:rPr>
                <w:rFonts w:ascii="Times New Roman" w:hAnsi="Times New Roman" w:cs="Times New Roman"/>
                <w:sz w:val="24"/>
                <w:szCs w:val="24"/>
              </w:rPr>
            </w:pPr>
            <w:r w:rsidRPr="00051BFA">
              <w:rPr>
                <w:rFonts w:ascii="Times New Roman" w:eastAsiaTheme="minorEastAsia" w:hAnsi="Times New Roman" w:cs="Times New Roman"/>
                <w:sz w:val="24"/>
                <w:szCs w:val="24"/>
              </w:rPr>
              <w:t xml:space="preserve">Local CareerSource Board letter of support </w:t>
            </w:r>
          </w:p>
        </w:tc>
        <w:tc>
          <w:tcPr>
            <w:tcW w:w="6000" w:type="dxa"/>
          </w:tcPr>
          <w:p w14:paraId="2B0B0D0E"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The agency has a letter of support from the local CareerSource Florida Board which includes information on the local employment demand for completers of the program.</w:t>
            </w:r>
          </w:p>
        </w:tc>
      </w:tr>
      <w:tr w:rsidR="00D94CB6" w:rsidRPr="00051BFA" w14:paraId="61F3F101" w14:textId="77777777" w:rsidTr="00816A31">
        <w:tc>
          <w:tcPr>
            <w:tcW w:w="3360" w:type="dxa"/>
          </w:tcPr>
          <w:p w14:paraId="4C581139"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 xml:space="preserve">Economic development agency letter of support </w:t>
            </w:r>
          </w:p>
        </w:tc>
        <w:tc>
          <w:tcPr>
            <w:tcW w:w="6000" w:type="dxa"/>
          </w:tcPr>
          <w:p w14:paraId="69998302" w14:textId="77777777" w:rsidR="00D94CB6" w:rsidRPr="00051BFA" w:rsidRDefault="00D94CB6" w:rsidP="00816A31">
            <w:pPr>
              <w:rPr>
                <w:rFonts w:ascii="Times New Roman" w:hAnsi="Times New Roman" w:cs="Times New Roman"/>
                <w:sz w:val="24"/>
                <w:szCs w:val="24"/>
              </w:rPr>
            </w:pPr>
            <w:r w:rsidRPr="00051BFA">
              <w:rPr>
                <w:rFonts w:ascii="Times New Roman" w:eastAsiaTheme="minorEastAsia" w:hAnsi="Times New Roman" w:cs="Times New Roman"/>
                <w:sz w:val="24"/>
                <w:szCs w:val="24"/>
              </w:rPr>
              <w:t xml:space="preserve">The agency has a letter </w:t>
            </w:r>
            <w:r>
              <w:rPr>
                <w:rFonts w:ascii="Times New Roman" w:eastAsiaTheme="minorEastAsia" w:hAnsi="Times New Roman" w:cs="Times New Roman"/>
                <w:sz w:val="24"/>
                <w:szCs w:val="24"/>
              </w:rPr>
              <w:t>of</w:t>
            </w:r>
            <w:r w:rsidRPr="00051BFA">
              <w:rPr>
                <w:rFonts w:ascii="Times New Roman" w:eastAsiaTheme="minorEastAsia" w:hAnsi="Times New Roman" w:cs="Times New Roman"/>
                <w:sz w:val="24"/>
                <w:szCs w:val="24"/>
              </w:rPr>
              <w:t xml:space="preserve"> support from a local economic development agency with documentation of local demand for the program. </w:t>
            </w:r>
          </w:p>
          <w:p w14:paraId="4143D29F"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 xml:space="preserve">The economic development agency must be one listed on this Enterprise Florida web page:  </w:t>
            </w:r>
            <w:hyperlink r:id="rId10">
              <w:r w:rsidRPr="00051BFA">
                <w:rPr>
                  <w:rStyle w:val="Hyperlink"/>
                  <w:rFonts w:ascii="Times New Roman" w:eastAsia="Calibri" w:hAnsi="Times New Roman" w:cs="Times New Roman"/>
                  <w:sz w:val="24"/>
                  <w:szCs w:val="24"/>
                </w:rPr>
                <w:t>https://www.enterpriseflorida.com/about-efi/stakeholders/economic-development-partners/</w:t>
              </w:r>
            </w:hyperlink>
          </w:p>
        </w:tc>
      </w:tr>
      <w:tr w:rsidR="00D94CB6" w:rsidRPr="00051BFA" w14:paraId="0313CFC5" w14:textId="77777777" w:rsidTr="00816A31">
        <w:tc>
          <w:tcPr>
            <w:tcW w:w="3360" w:type="dxa"/>
          </w:tcPr>
          <w:p w14:paraId="6671ABFF" w14:textId="77777777" w:rsidR="00D94CB6" w:rsidRPr="00051BFA" w:rsidRDefault="00D94CB6" w:rsidP="00816A31">
            <w:pPr>
              <w:rPr>
                <w:rFonts w:ascii="Times New Roman" w:hAnsi="Times New Roman" w:cs="Times New Roman"/>
                <w:sz w:val="24"/>
                <w:szCs w:val="24"/>
              </w:rPr>
            </w:pPr>
            <w:r w:rsidRPr="00051BFA">
              <w:rPr>
                <w:rFonts w:ascii="Times New Roman" w:eastAsiaTheme="minorEastAsia" w:hAnsi="Times New Roman" w:cs="Times New Roman"/>
                <w:sz w:val="24"/>
                <w:szCs w:val="24"/>
              </w:rPr>
              <w:t>Local Chamber of Commerce letter of support</w:t>
            </w:r>
          </w:p>
        </w:tc>
        <w:tc>
          <w:tcPr>
            <w:tcW w:w="6000" w:type="dxa"/>
          </w:tcPr>
          <w:p w14:paraId="31E04069"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The agency has a letter of support from the local chamber of commerce for the agency’s service area.  This letter includes information on the local employment demand for completers of the program.</w:t>
            </w:r>
          </w:p>
        </w:tc>
      </w:tr>
      <w:tr w:rsidR="00D94CB6" w:rsidRPr="00051BFA" w14:paraId="33D92D0A" w14:textId="77777777" w:rsidTr="00816A31">
        <w:tc>
          <w:tcPr>
            <w:tcW w:w="3360" w:type="dxa"/>
          </w:tcPr>
          <w:p w14:paraId="2A1660F4"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 xml:space="preserve">Other Employer or Industry Association </w:t>
            </w:r>
          </w:p>
        </w:tc>
        <w:tc>
          <w:tcPr>
            <w:tcW w:w="6000" w:type="dxa"/>
          </w:tcPr>
          <w:p w14:paraId="379246D0" w14:textId="77777777" w:rsidR="00D94CB6" w:rsidRPr="00051BFA" w:rsidRDefault="00D94CB6" w:rsidP="00816A31">
            <w:pPr>
              <w:rPr>
                <w:rFonts w:ascii="Times New Roman" w:eastAsiaTheme="minorEastAsia" w:hAnsi="Times New Roman" w:cs="Times New Roman"/>
                <w:sz w:val="24"/>
                <w:szCs w:val="24"/>
              </w:rPr>
            </w:pPr>
            <w:r w:rsidRPr="00051BFA">
              <w:rPr>
                <w:rFonts w:ascii="Times New Roman" w:eastAsiaTheme="minorEastAsia" w:hAnsi="Times New Roman" w:cs="Times New Roman"/>
                <w:sz w:val="24"/>
                <w:szCs w:val="24"/>
              </w:rPr>
              <w:t>The agency has a letter of support with information on the local employment demand for completers of the program from one of the following:</w:t>
            </w:r>
          </w:p>
          <w:p w14:paraId="01B35FB3" w14:textId="77777777" w:rsidR="00D94CB6" w:rsidRPr="00051BFA" w:rsidRDefault="00D94CB6" w:rsidP="00D94CB6">
            <w:pPr>
              <w:pStyle w:val="ListParagraph"/>
              <w:numPr>
                <w:ilvl w:val="0"/>
                <w:numId w:val="2"/>
              </w:numPr>
              <w:rPr>
                <w:rFonts w:ascii="Times New Roman" w:hAnsi="Times New Roman" w:cs="Times New Roman"/>
                <w:sz w:val="24"/>
                <w:szCs w:val="24"/>
              </w:rPr>
            </w:pPr>
            <w:r w:rsidRPr="00051BFA">
              <w:rPr>
                <w:rFonts w:ascii="Times New Roman" w:eastAsiaTheme="minorEastAsia" w:hAnsi="Times New Roman" w:cs="Times New Roman"/>
                <w:sz w:val="24"/>
                <w:szCs w:val="24"/>
              </w:rPr>
              <w:t>Local employer with a documented history of hiring graduates from the program</w:t>
            </w:r>
          </w:p>
          <w:p w14:paraId="596B0A1A" w14:textId="77777777" w:rsidR="00D94CB6" w:rsidRPr="00051BFA" w:rsidRDefault="00D94CB6" w:rsidP="00D94CB6">
            <w:pPr>
              <w:pStyle w:val="ListParagraph"/>
              <w:numPr>
                <w:ilvl w:val="0"/>
                <w:numId w:val="4"/>
              </w:numPr>
              <w:rPr>
                <w:rFonts w:ascii="Times New Roman" w:hAnsi="Times New Roman" w:cs="Times New Roman"/>
                <w:sz w:val="24"/>
                <w:szCs w:val="24"/>
              </w:rPr>
            </w:pPr>
            <w:r w:rsidRPr="00051BFA">
              <w:rPr>
                <w:rFonts w:ascii="Times New Roman" w:eastAsiaTheme="minorEastAsia" w:hAnsi="Times New Roman" w:cs="Times New Roman"/>
                <w:sz w:val="24"/>
                <w:szCs w:val="24"/>
              </w:rPr>
              <w:t>Recent employer in an emerging occupational area</w:t>
            </w:r>
          </w:p>
          <w:p w14:paraId="7A6F6A80" w14:textId="77777777" w:rsidR="00D94CB6" w:rsidRPr="00051BFA" w:rsidRDefault="00D94CB6" w:rsidP="00D94CB6">
            <w:pPr>
              <w:pStyle w:val="ListParagraph"/>
              <w:numPr>
                <w:ilvl w:val="0"/>
                <w:numId w:val="4"/>
              </w:numPr>
              <w:rPr>
                <w:rFonts w:ascii="Times New Roman" w:hAnsi="Times New Roman" w:cs="Times New Roman"/>
                <w:sz w:val="24"/>
                <w:szCs w:val="24"/>
              </w:rPr>
            </w:pPr>
            <w:r w:rsidRPr="00051BFA">
              <w:rPr>
                <w:rFonts w:ascii="Times New Roman" w:eastAsiaTheme="minorEastAsia" w:hAnsi="Times New Roman" w:cs="Times New Roman"/>
                <w:sz w:val="24"/>
                <w:szCs w:val="24"/>
              </w:rPr>
              <w:t xml:space="preserve">State industry associations, or </w:t>
            </w:r>
          </w:p>
          <w:p w14:paraId="1F55A64A" w14:textId="77777777" w:rsidR="00D94CB6" w:rsidRPr="00051BFA" w:rsidRDefault="00D94CB6" w:rsidP="00D94CB6">
            <w:pPr>
              <w:pStyle w:val="ListParagraph"/>
              <w:numPr>
                <w:ilvl w:val="0"/>
                <w:numId w:val="4"/>
              </w:numPr>
              <w:rPr>
                <w:rFonts w:ascii="Times New Roman" w:hAnsi="Times New Roman" w:cs="Times New Roman"/>
                <w:sz w:val="24"/>
                <w:szCs w:val="24"/>
              </w:rPr>
            </w:pPr>
            <w:r w:rsidRPr="00051BFA">
              <w:rPr>
                <w:rFonts w:ascii="Times New Roman" w:eastAsiaTheme="minorEastAsia" w:hAnsi="Times New Roman" w:cs="Times New Roman"/>
                <w:sz w:val="24"/>
                <w:szCs w:val="24"/>
              </w:rPr>
              <w:t>Regional industry associations</w:t>
            </w:r>
          </w:p>
        </w:tc>
      </w:tr>
    </w:tbl>
    <w:p w14:paraId="2DA1AF67" w14:textId="77777777" w:rsidR="00D94CB6" w:rsidRPr="00051BFA" w:rsidRDefault="00D94CB6" w:rsidP="00D94CB6">
      <w:pPr>
        <w:rPr>
          <w:rFonts w:ascii="Times New Roman" w:hAnsi="Times New Roman" w:cs="Times New Roman"/>
          <w:sz w:val="24"/>
          <w:szCs w:val="24"/>
        </w:rPr>
      </w:pPr>
    </w:p>
    <w:p w14:paraId="2ED2C2EF" w14:textId="77777777" w:rsidR="00D94CB6" w:rsidRPr="00051BFA" w:rsidRDefault="00D94CB6" w:rsidP="00D94CB6">
      <w:pPr>
        <w:rPr>
          <w:rFonts w:ascii="Times New Roman" w:hAnsi="Times New Roman" w:cs="Times New Roman"/>
          <w:sz w:val="24"/>
          <w:szCs w:val="24"/>
        </w:rPr>
      </w:pPr>
    </w:p>
    <w:p w14:paraId="708DF9BB" w14:textId="6C995D76" w:rsidR="39146E0D" w:rsidRDefault="39146E0D" w:rsidP="00D94CB6"/>
    <w:sectPr w:rsidR="39146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4867"/>
    <w:multiLevelType w:val="hybridMultilevel"/>
    <w:tmpl w:val="B6A69FE4"/>
    <w:lvl w:ilvl="0" w:tplc="7AFECB10">
      <w:start w:val="1"/>
      <w:numFmt w:val="bullet"/>
      <w:lvlText w:val=""/>
      <w:lvlJc w:val="left"/>
      <w:pPr>
        <w:ind w:left="720" w:hanging="360"/>
      </w:pPr>
      <w:rPr>
        <w:rFonts w:ascii="Symbol" w:hAnsi="Symbol" w:hint="default"/>
      </w:rPr>
    </w:lvl>
    <w:lvl w:ilvl="1" w:tplc="9C90B9CC">
      <w:start w:val="1"/>
      <w:numFmt w:val="bullet"/>
      <w:lvlText w:val="o"/>
      <w:lvlJc w:val="left"/>
      <w:pPr>
        <w:ind w:left="1440" w:hanging="360"/>
      </w:pPr>
      <w:rPr>
        <w:rFonts w:ascii="Courier New" w:hAnsi="Courier New" w:hint="default"/>
      </w:rPr>
    </w:lvl>
    <w:lvl w:ilvl="2" w:tplc="57FE1040">
      <w:start w:val="1"/>
      <w:numFmt w:val="bullet"/>
      <w:lvlText w:val=""/>
      <w:lvlJc w:val="left"/>
      <w:pPr>
        <w:ind w:left="2160" w:hanging="360"/>
      </w:pPr>
      <w:rPr>
        <w:rFonts w:ascii="Wingdings" w:hAnsi="Wingdings" w:hint="default"/>
      </w:rPr>
    </w:lvl>
    <w:lvl w:ilvl="3" w:tplc="DFEAC830">
      <w:start w:val="1"/>
      <w:numFmt w:val="bullet"/>
      <w:lvlText w:val=""/>
      <w:lvlJc w:val="left"/>
      <w:pPr>
        <w:ind w:left="2880" w:hanging="360"/>
      </w:pPr>
      <w:rPr>
        <w:rFonts w:ascii="Symbol" w:hAnsi="Symbol" w:hint="default"/>
      </w:rPr>
    </w:lvl>
    <w:lvl w:ilvl="4" w:tplc="7C962024">
      <w:start w:val="1"/>
      <w:numFmt w:val="bullet"/>
      <w:lvlText w:val="o"/>
      <w:lvlJc w:val="left"/>
      <w:pPr>
        <w:ind w:left="3600" w:hanging="360"/>
      </w:pPr>
      <w:rPr>
        <w:rFonts w:ascii="Courier New" w:hAnsi="Courier New" w:hint="default"/>
      </w:rPr>
    </w:lvl>
    <w:lvl w:ilvl="5" w:tplc="6F687974">
      <w:start w:val="1"/>
      <w:numFmt w:val="bullet"/>
      <w:lvlText w:val=""/>
      <w:lvlJc w:val="left"/>
      <w:pPr>
        <w:ind w:left="4320" w:hanging="360"/>
      </w:pPr>
      <w:rPr>
        <w:rFonts w:ascii="Wingdings" w:hAnsi="Wingdings" w:hint="default"/>
      </w:rPr>
    </w:lvl>
    <w:lvl w:ilvl="6" w:tplc="CA5CA682">
      <w:start w:val="1"/>
      <w:numFmt w:val="bullet"/>
      <w:lvlText w:val=""/>
      <w:lvlJc w:val="left"/>
      <w:pPr>
        <w:ind w:left="5040" w:hanging="360"/>
      </w:pPr>
      <w:rPr>
        <w:rFonts w:ascii="Symbol" w:hAnsi="Symbol" w:hint="default"/>
      </w:rPr>
    </w:lvl>
    <w:lvl w:ilvl="7" w:tplc="40821660">
      <w:start w:val="1"/>
      <w:numFmt w:val="bullet"/>
      <w:lvlText w:val="o"/>
      <w:lvlJc w:val="left"/>
      <w:pPr>
        <w:ind w:left="5760" w:hanging="360"/>
      </w:pPr>
      <w:rPr>
        <w:rFonts w:ascii="Courier New" w:hAnsi="Courier New" w:hint="default"/>
      </w:rPr>
    </w:lvl>
    <w:lvl w:ilvl="8" w:tplc="D46244BC">
      <w:start w:val="1"/>
      <w:numFmt w:val="bullet"/>
      <w:lvlText w:val=""/>
      <w:lvlJc w:val="left"/>
      <w:pPr>
        <w:ind w:left="6480" w:hanging="360"/>
      </w:pPr>
      <w:rPr>
        <w:rFonts w:ascii="Wingdings" w:hAnsi="Wingdings" w:hint="default"/>
      </w:rPr>
    </w:lvl>
  </w:abstractNum>
  <w:abstractNum w:abstractNumId="1" w15:restartNumberingAfterBreak="0">
    <w:nsid w:val="313E581E"/>
    <w:multiLevelType w:val="hybridMultilevel"/>
    <w:tmpl w:val="6D302A98"/>
    <w:lvl w:ilvl="0" w:tplc="5A888A2A">
      <w:start w:val="1"/>
      <w:numFmt w:val="bullet"/>
      <w:lvlText w:val=""/>
      <w:lvlJc w:val="left"/>
      <w:pPr>
        <w:ind w:left="720" w:hanging="360"/>
      </w:pPr>
      <w:rPr>
        <w:rFonts w:ascii="Wingdings" w:hAnsi="Wingdings" w:hint="default"/>
      </w:rPr>
    </w:lvl>
    <w:lvl w:ilvl="1" w:tplc="17B6ECF0">
      <w:start w:val="1"/>
      <w:numFmt w:val="lowerLetter"/>
      <w:lvlText w:val="%2."/>
      <w:lvlJc w:val="left"/>
      <w:pPr>
        <w:ind w:left="1440" w:hanging="360"/>
      </w:pPr>
    </w:lvl>
    <w:lvl w:ilvl="2" w:tplc="66067076">
      <w:start w:val="1"/>
      <w:numFmt w:val="lowerRoman"/>
      <w:lvlText w:val="%3."/>
      <w:lvlJc w:val="right"/>
      <w:pPr>
        <w:ind w:left="2160" w:hanging="180"/>
      </w:pPr>
    </w:lvl>
    <w:lvl w:ilvl="3" w:tplc="F82A20CC">
      <w:start w:val="1"/>
      <w:numFmt w:val="decimal"/>
      <w:lvlText w:val="%4."/>
      <w:lvlJc w:val="left"/>
      <w:pPr>
        <w:ind w:left="2880" w:hanging="360"/>
      </w:pPr>
    </w:lvl>
    <w:lvl w:ilvl="4" w:tplc="79BEF992">
      <w:start w:val="1"/>
      <w:numFmt w:val="lowerLetter"/>
      <w:lvlText w:val="%5."/>
      <w:lvlJc w:val="left"/>
      <w:pPr>
        <w:ind w:left="3600" w:hanging="360"/>
      </w:pPr>
    </w:lvl>
    <w:lvl w:ilvl="5" w:tplc="16C838E6">
      <w:start w:val="1"/>
      <w:numFmt w:val="lowerRoman"/>
      <w:lvlText w:val="%6."/>
      <w:lvlJc w:val="right"/>
      <w:pPr>
        <w:ind w:left="4320" w:hanging="180"/>
      </w:pPr>
    </w:lvl>
    <w:lvl w:ilvl="6" w:tplc="451C9EC2">
      <w:start w:val="1"/>
      <w:numFmt w:val="decimal"/>
      <w:lvlText w:val="%7."/>
      <w:lvlJc w:val="left"/>
      <w:pPr>
        <w:ind w:left="5040" w:hanging="360"/>
      </w:pPr>
    </w:lvl>
    <w:lvl w:ilvl="7" w:tplc="16F61FFC">
      <w:start w:val="1"/>
      <w:numFmt w:val="lowerLetter"/>
      <w:lvlText w:val="%8."/>
      <w:lvlJc w:val="left"/>
      <w:pPr>
        <w:ind w:left="5760" w:hanging="360"/>
      </w:pPr>
    </w:lvl>
    <w:lvl w:ilvl="8" w:tplc="473AD6A6">
      <w:start w:val="1"/>
      <w:numFmt w:val="lowerRoman"/>
      <w:lvlText w:val="%9."/>
      <w:lvlJc w:val="right"/>
      <w:pPr>
        <w:ind w:left="6480" w:hanging="180"/>
      </w:pPr>
    </w:lvl>
  </w:abstractNum>
  <w:abstractNum w:abstractNumId="2" w15:restartNumberingAfterBreak="0">
    <w:nsid w:val="3929273B"/>
    <w:multiLevelType w:val="hybridMultilevel"/>
    <w:tmpl w:val="71C65508"/>
    <w:lvl w:ilvl="0" w:tplc="76F89E96">
      <w:start w:val="1"/>
      <w:numFmt w:val="bullet"/>
      <w:lvlText w:val=""/>
      <w:lvlJc w:val="left"/>
      <w:pPr>
        <w:ind w:left="720" w:hanging="360"/>
      </w:pPr>
      <w:rPr>
        <w:rFonts w:ascii="Symbol" w:hAnsi="Symbol" w:hint="default"/>
      </w:rPr>
    </w:lvl>
    <w:lvl w:ilvl="1" w:tplc="73E81C2C">
      <w:start w:val="1"/>
      <w:numFmt w:val="bullet"/>
      <w:lvlText w:val="o"/>
      <w:lvlJc w:val="left"/>
      <w:pPr>
        <w:ind w:left="1440" w:hanging="360"/>
      </w:pPr>
      <w:rPr>
        <w:rFonts w:ascii="Courier New" w:hAnsi="Courier New" w:hint="default"/>
      </w:rPr>
    </w:lvl>
    <w:lvl w:ilvl="2" w:tplc="3FB212E4">
      <w:start w:val="1"/>
      <w:numFmt w:val="bullet"/>
      <w:lvlText w:val=""/>
      <w:lvlJc w:val="left"/>
      <w:pPr>
        <w:ind w:left="2160" w:hanging="360"/>
      </w:pPr>
      <w:rPr>
        <w:rFonts w:ascii="Wingdings" w:hAnsi="Wingdings" w:hint="default"/>
      </w:rPr>
    </w:lvl>
    <w:lvl w:ilvl="3" w:tplc="1B9CB1DE">
      <w:start w:val="1"/>
      <w:numFmt w:val="bullet"/>
      <w:lvlText w:val=""/>
      <w:lvlJc w:val="left"/>
      <w:pPr>
        <w:ind w:left="2880" w:hanging="360"/>
      </w:pPr>
      <w:rPr>
        <w:rFonts w:ascii="Symbol" w:hAnsi="Symbol" w:hint="default"/>
      </w:rPr>
    </w:lvl>
    <w:lvl w:ilvl="4" w:tplc="2F424728">
      <w:start w:val="1"/>
      <w:numFmt w:val="bullet"/>
      <w:lvlText w:val="o"/>
      <w:lvlJc w:val="left"/>
      <w:pPr>
        <w:ind w:left="3600" w:hanging="360"/>
      </w:pPr>
      <w:rPr>
        <w:rFonts w:ascii="Courier New" w:hAnsi="Courier New" w:hint="default"/>
      </w:rPr>
    </w:lvl>
    <w:lvl w:ilvl="5" w:tplc="5ADC3B2E">
      <w:start w:val="1"/>
      <w:numFmt w:val="bullet"/>
      <w:lvlText w:val=""/>
      <w:lvlJc w:val="left"/>
      <w:pPr>
        <w:ind w:left="4320" w:hanging="360"/>
      </w:pPr>
      <w:rPr>
        <w:rFonts w:ascii="Wingdings" w:hAnsi="Wingdings" w:hint="default"/>
      </w:rPr>
    </w:lvl>
    <w:lvl w:ilvl="6" w:tplc="C292EB18">
      <w:start w:val="1"/>
      <w:numFmt w:val="bullet"/>
      <w:lvlText w:val=""/>
      <w:lvlJc w:val="left"/>
      <w:pPr>
        <w:ind w:left="5040" w:hanging="360"/>
      </w:pPr>
      <w:rPr>
        <w:rFonts w:ascii="Symbol" w:hAnsi="Symbol" w:hint="default"/>
      </w:rPr>
    </w:lvl>
    <w:lvl w:ilvl="7" w:tplc="A932776C">
      <w:start w:val="1"/>
      <w:numFmt w:val="bullet"/>
      <w:lvlText w:val="o"/>
      <w:lvlJc w:val="left"/>
      <w:pPr>
        <w:ind w:left="5760" w:hanging="360"/>
      </w:pPr>
      <w:rPr>
        <w:rFonts w:ascii="Courier New" w:hAnsi="Courier New" w:hint="default"/>
      </w:rPr>
    </w:lvl>
    <w:lvl w:ilvl="8" w:tplc="D63441D4">
      <w:start w:val="1"/>
      <w:numFmt w:val="bullet"/>
      <w:lvlText w:val=""/>
      <w:lvlJc w:val="left"/>
      <w:pPr>
        <w:ind w:left="6480" w:hanging="360"/>
      </w:pPr>
      <w:rPr>
        <w:rFonts w:ascii="Wingdings" w:hAnsi="Wingdings" w:hint="default"/>
      </w:rPr>
    </w:lvl>
  </w:abstractNum>
  <w:abstractNum w:abstractNumId="3" w15:restartNumberingAfterBreak="0">
    <w:nsid w:val="616B0D5D"/>
    <w:multiLevelType w:val="hybridMultilevel"/>
    <w:tmpl w:val="90F44718"/>
    <w:lvl w:ilvl="0" w:tplc="E9CE1A1A">
      <w:start w:val="1"/>
      <w:numFmt w:val="bullet"/>
      <w:lvlText w:val=""/>
      <w:lvlJc w:val="left"/>
      <w:pPr>
        <w:ind w:left="720" w:hanging="360"/>
      </w:pPr>
      <w:rPr>
        <w:rFonts w:ascii="Wingdings" w:hAnsi="Wingdings" w:hint="default"/>
      </w:rPr>
    </w:lvl>
    <w:lvl w:ilvl="1" w:tplc="B0CCFEAA">
      <w:start w:val="1"/>
      <w:numFmt w:val="bullet"/>
      <w:lvlText w:val="o"/>
      <w:lvlJc w:val="left"/>
      <w:pPr>
        <w:ind w:left="1440" w:hanging="360"/>
      </w:pPr>
      <w:rPr>
        <w:rFonts w:ascii="Courier New" w:hAnsi="Courier New" w:hint="default"/>
      </w:rPr>
    </w:lvl>
    <w:lvl w:ilvl="2" w:tplc="82CADF0A">
      <w:start w:val="1"/>
      <w:numFmt w:val="bullet"/>
      <w:lvlText w:val=""/>
      <w:lvlJc w:val="left"/>
      <w:pPr>
        <w:ind w:left="2160" w:hanging="360"/>
      </w:pPr>
      <w:rPr>
        <w:rFonts w:ascii="Wingdings" w:hAnsi="Wingdings" w:hint="default"/>
      </w:rPr>
    </w:lvl>
    <w:lvl w:ilvl="3" w:tplc="3B0E0054">
      <w:start w:val="1"/>
      <w:numFmt w:val="bullet"/>
      <w:lvlText w:val=""/>
      <w:lvlJc w:val="left"/>
      <w:pPr>
        <w:ind w:left="2880" w:hanging="360"/>
      </w:pPr>
      <w:rPr>
        <w:rFonts w:ascii="Symbol" w:hAnsi="Symbol" w:hint="default"/>
      </w:rPr>
    </w:lvl>
    <w:lvl w:ilvl="4" w:tplc="D9D0ACC6">
      <w:start w:val="1"/>
      <w:numFmt w:val="bullet"/>
      <w:lvlText w:val="o"/>
      <w:lvlJc w:val="left"/>
      <w:pPr>
        <w:ind w:left="3600" w:hanging="360"/>
      </w:pPr>
      <w:rPr>
        <w:rFonts w:ascii="Courier New" w:hAnsi="Courier New" w:hint="default"/>
      </w:rPr>
    </w:lvl>
    <w:lvl w:ilvl="5" w:tplc="A1245682">
      <w:start w:val="1"/>
      <w:numFmt w:val="bullet"/>
      <w:lvlText w:val=""/>
      <w:lvlJc w:val="left"/>
      <w:pPr>
        <w:ind w:left="4320" w:hanging="360"/>
      </w:pPr>
      <w:rPr>
        <w:rFonts w:ascii="Wingdings" w:hAnsi="Wingdings" w:hint="default"/>
      </w:rPr>
    </w:lvl>
    <w:lvl w:ilvl="6" w:tplc="220804B8">
      <w:start w:val="1"/>
      <w:numFmt w:val="bullet"/>
      <w:lvlText w:val=""/>
      <w:lvlJc w:val="left"/>
      <w:pPr>
        <w:ind w:left="5040" w:hanging="360"/>
      </w:pPr>
      <w:rPr>
        <w:rFonts w:ascii="Symbol" w:hAnsi="Symbol" w:hint="default"/>
      </w:rPr>
    </w:lvl>
    <w:lvl w:ilvl="7" w:tplc="83E8CE5C">
      <w:start w:val="1"/>
      <w:numFmt w:val="bullet"/>
      <w:lvlText w:val="o"/>
      <w:lvlJc w:val="left"/>
      <w:pPr>
        <w:ind w:left="5760" w:hanging="360"/>
      </w:pPr>
      <w:rPr>
        <w:rFonts w:ascii="Courier New" w:hAnsi="Courier New" w:hint="default"/>
      </w:rPr>
    </w:lvl>
    <w:lvl w:ilvl="8" w:tplc="37622C1A">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E767AE"/>
    <w:rsid w:val="001F6912"/>
    <w:rsid w:val="001F774E"/>
    <w:rsid w:val="003D5AC9"/>
    <w:rsid w:val="005273F7"/>
    <w:rsid w:val="005E15EC"/>
    <w:rsid w:val="006910FB"/>
    <w:rsid w:val="00730240"/>
    <w:rsid w:val="007D0EE9"/>
    <w:rsid w:val="00820619"/>
    <w:rsid w:val="00827C9D"/>
    <w:rsid w:val="0087411C"/>
    <w:rsid w:val="00A77151"/>
    <w:rsid w:val="00B00491"/>
    <w:rsid w:val="00D0551F"/>
    <w:rsid w:val="00D94CB6"/>
    <w:rsid w:val="20E767AE"/>
    <w:rsid w:val="3914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67AE"/>
  <w15:chartTrackingRefBased/>
  <w15:docId w15:val="{CDCE6D18-0CFA-459F-BEFB-044CC10F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05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51F"/>
    <w:rPr>
      <w:rFonts w:ascii="Segoe UI" w:hAnsi="Segoe UI" w:cs="Segoe UI"/>
      <w:sz w:val="18"/>
      <w:szCs w:val="18"/>
    </w:rPr>
  </w:style>
  <w:style w:type="paragraph" w:customStyle="1" w:styleId="xmsonormal">
    <w:name w:val="x_msonormal"/>
    <w:basedOn w:val="Normal"/>
    <w:rsid w:val="005273F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27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6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core/fileparse.php/18815/urlt/DOACS-ProgDocReques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nterpriseflorida.com/about-efi/stakeholders/economic-development-partners/" TargetMode="External"/><Relationship Id="rId4" Type="http://schemas.openxmlformats.org/officeDocument/2006/relationships/numbering" Target="numbering.xml"/><Relationship Id="rId9" Type="http://schemas.openxmlformats.org/officeDocument/2006/relationships/hyperlink" Target="mailto:Perkins@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2968A43FB5249A98F20EC708A9E5A" ma:contentTypeVersion="13" ma:contentTypeDescription="Create a new document." ma:contentTypeScope="" ma:versionID="bad2320703f9b6dc8484a0f70350ce56">
  <xsd:schema xmlns:xsd="http://www.w3.org/2001/XMLSchema" xmlns:xs="http://www.w3.org/2001/XMLSchema" xmlns:p="http://schemas.microsoft.com/office/2006/metadata/properties" xmlns:ns3="c3eab489-66ce-450b-ae08-2f17037e23d5" xmlns:ns4="3ba634b6-7159-4005-bd66-4e696597a762" targetNamespace="http://schemas.microsoft.com/office/2006/metadata/properties" ma:root="true" ma:fieldsID="597d6b284b76828a930610baa6479876" ns3:_="" ns4:_="">
    <xsd:import namespace="c3eab489-66ce-450b-ae08-2f17037e23d5"/>
    <xsd:import namespace="3ba634b6-7159-4005-bd66-4e696597a7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ab489-66ce-450b-ae08-2f17037e2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34b6-7159-4005-bd66-4e696597a7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A0284-5E79-4A82-B3A2-3F9AFDBB4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ab489-66ce-450b-ae08-2f17037e23d5"/>
    <ds:schemaRef ds:uri="3ba634b6-7159-4005-bd66-4e696597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F157C-A13D-48A7-8395-216365CF91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CF492-9C2A-4F7F-A17C-213F289D3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Tara</dc:creator>
  <cp:keywords/>
  <dc:description/>
  <cp:lastModifiedBy>Harrington, Bruce</cp:lastModifiedBy>
  <cp:revision>2</cp:revision>
  <dcterms:created xsi:type="dcterms:W3CDTF">2020-05-07T19:25:00Z</dcterms:created>
  <dcterms:modified xsi:type="dcterms:W3CDTF">2020-05-07T19:25:00Z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0x010100A102968A43FB5249A98F20EC708A9E5A</vt:lpwstr>
  </property>
</Properties>
</file>